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2383" w14:textId="265D7597" w:rsidR="007F6414" w:rsidRDefault="00973B46" w:rsidP="00C20C58">
      <w:pPr>
        <w:pStyle w:val="Heading1"/>
        <w:ind w:right="-211"/>
        <w:jc w:val="center"/>
      </w:pPr>
      <w:r>
        <w:t xml:space="preserve">                                                       Vacancy: </w:t>
      </w:r>
      <w:r w:rsidR="00586FEF">
        <w:t>Mental Health Specialist</w:t>
      </w:r>
    </w:p>
    <w:p w14:paraId="09E12006" w14:textId="7EC81050" w:rsidR="00973B46" w:rsidRDefault="00973B46" w:rsidP="00973B46">
      <w:pPr>
        <w:pStyle w:val="Heading1"/>
        <w:jc w:val="center"/>
      </w:pPr>
      <w:r>
        <w:t xml:space="preserve">                                                       Diaspora Expert</w:t>
      </w:r>
    </w:p>
    <w:p w14:paraId="5736001B" w14:textId="77777777" w:rsidR="00973B46" w:rsidRPr="00973B46" w:rsidRDefault="00973B46" w:rsidP="00973B46"/>
    <w:tbl>
      <w:tblPr>
        <w:tblStyle w:val="TableGrid"/>
        <w:tblW w:w="9999" w:type="dxa"/>
        <w:tblInd w:w="-104" w:type="dxa"/>
        <w:tblCellMar>
          <w:top w:w="49" w:type="dxa"/>
          <w:left w:w="104" w:type="dxa"/>
          <w:right w:w="115" w:type="dxa"/>
        </w:tblCellMar>
        <w:tblLook w:val="04A0" w:firstRow="1" w:lastRow="0" w:firstColumn="1" w:lastColumn="0" w:noHBand="0" w:noVBand="1"/>
      </w:tblPr>
      <w:tblGrid>
        <w:gridCol w:w="9999"/>
      </w:tblGrid>
      <w:tr w:rsidR="007F6414" w14:paraId="08C5DD35" w14:textId="77777777" w:rsidTr="007279A5">
        <w:trPr>
          <w:trHeight w:val="320"/>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5AB910C9" w14:textId="77777777" w:rsidR="007F6414" w:rsidRPr="00EA4475" w:rsidRDefault="007F6414" w:rsidP="00496C8D">
            <w:pPr>
              <w:rPr>
                <w:b/>
                <w:bCs/>
              </w:rPr>
            </w:pPr>
            <w:r w:rsidRPr="00EA4475">
              <w:rPr>
                <w:b/>
                <w:bCs/>
                <w:sz w:val="23"/>
              </w:rPr>
              <w:t xml:space="preserve">I. General Information  </w:t>
            </w:r>
          </w:p>
        </w:tc>
      </w:tr>
      <w:tr w:rsidR="007F6414" w14:paraId="69E9E38A" w14:textId="77777777" w:rsidTr="001510D3">
        <w:trPr>
          <w:trHeight w:val="2583"/>
        </w:trPr>
        <w:tc>
          <w:tcPr>
            <w:tcW w:w="9999" w:type="dxa"/>
            <w:tcBorders>
              <w:top w:val="single" w:sz="4" w:space="0" w:color="000000"/>
              <w:left w:val="single" w:sz="4" w:space="0" w:color="000000"/>
              <w:bottom w:val="single" w:sz="4" w:space="0" w:color="000000"/>
              <w:right w:val="single" w:sz="4" w:space="0" w:color="000000"/>
            </w:tcBorders>
          </w:tcPr>
          <w:p w14:paraId="29C3DE85" w14:textId="77777777" w:rsidR="007F6414" w:rsidRDefault="007F6414" w:rsidP="00496C8D">
            <w:r>
              <w:rPr>
                <w:sz w:val="21"/>
              </w:rPr>
              <w:t xml:space="preserve">    </w:t>
            </w:r>
          </w:p>
          <w:tbl>
            <w:tblPr>
              <w:tblStyle w:val="TableGrid"/>
              <w:tblW w:w="9320" w:type="dxa"/>
              <w:tblInd w:w="5" w:type="dxa"/>
              <w:tblCellMar>
                <w:top w:w="48" w:type="dxa"/>
                <w:left w:w="106" w:type="dxa"/>
                <w:right w:w="115" w:type="dxa"/>
              </w:tblCellMar>
              <w:tblLook w:val="04A0" w:firstRow="1" w:lastRow="0" w:firstColumn="1" w:lastColumn="0" w:noHBand="0" w:noVBand="1"/>
            </w:tblPr>
            <w:tblGrid>
              <w:gridCol w:w="4134"/>
              <w:gridCol w:w="5186"/>
            </w:tblGrid>
            <w:tr w:rsidR="007F6414" w14:paraId="50585F17"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5A3C6ADB" w14:textId="543139CE" w:rsidR="007F6414" w:rsidRPr="00654C27" w:rsidRDefault="007F6414" w:rsidP="00496C8D">
                  <w:pPr>
                    <w:rPr>
                      <w:rFonts w:asciiTheme="minorHAnsi" w:hAnsiTheme="minorHAnsi" w:cstheme="minorHAnsi"/>
                      <w:b/>
                      <w:bCs/>
                    </w:rPr>
                  </w:pPr>
                  <w:r w:rsidRPr="00654C27">
                    <w:rPr>
                      <w:rFonts w:asciiTheme="minorHAnsi" w:hAnsiTheme="minorHAnsi" w:cstheme="minorHAnsi"/>
                      <w:b/>
                      <w:bCs/>
                    </w:rPr>
                    <w:t>Position</w:t>
                  </w:r>
                </w:p>
              </w:tc>
              <w:tc>
                <w:tcPr>
                  <w:tcW w:w="5186" w:type="dxa"/>
                  <w:tcBorders>
                    <w:top w:val="single" w:sz="4" w:space="0" w:color="000000"/>
                    <w:left w:val="single" w:sz="4" w:space="0" w:color="000000"/>
                    <w:bottom w:val="single" w:sz="4" w:space="0" w:color="000000"/>
                    <w:right w:val="single" w:sz="4" w:space="0" w:color="000000"/>
                  </w:tcBorders>
                </w:tcPr>
                <w:p w14:paraId="5ADC4BE4" w14:textId="5B1852D1" w:rsidR="007F6414" w:rsidRPr="00285726" w:rsidRDefault="00FF380F" w:rsidP="00496C8D">
                  <w:pPr>
                    <w:rPr>
                      <w:rFonts w:asciiTheme="minorHAnsi" w:hAnsiTheme="minorHAnsi" w:cstheme="minorHAnsi"/>
                      <w:b/>
                      <w:bCs/>
                    </w:rPr>
                  </w:pPr>
                  <w:r>
                    <w:rPr>
                      <w:rFonts w:asciiTheme="minorHAnsi" w:hAnsiTheme="minorHAnsi" w:cstheme="minorHAnsi"/>
                      <w:b/>
                      <w:bCs/>
                    </w:rPr>
                    <w:t xml:space="preserve">Mental Health Specialist </w:t>
                  </w:r>
                </w:p>
              </w:tc>
            </w:tr>
            <w:tr w:rsidR="00654C27" w14:paraId="5DCFD027"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6944D975" w14:textId="4856A35E" w:rsidR="00654C27" w:rsidRPr="0060237B" w:rsidRDefault="00654C27" w:rsidP="00654C27">
                  <w:pPr>
                    <w:rPr>
                      <w:rFonts w:asciiTheme="minorHAnsi" w:hAnsiTheme="minorHAnsi" w:cstheme="minorHAnsi"/>
                      <w:b/>
                      <w:bCs/>
                    </w:rPr>
                  </w:pPr>
                  <w:r w:rsidRPr="0060237B">
                    <w:rPr>
                      <w:rFonts w:asciiTheme="minorHAnsi" w:hAnsiTheme="minorHAnsi" w:cstheme="minorHAnsi"/>
                      <w:b/>
                      <w:bCs/>
                    </w:rPr>
                    <w:t>Position type</w:t>
                  </w:r>
                </w:p>
              </w:tc>
              <w:tc>
                <w:tcPr>
                  <w:tcW w:w="5186" w:type="dxa"/>
                  <w:tcBorders>
                    <w:top w:val="single" w:sz="4" w:space="0" w:color="000000"/>
                    <w:left w:val="single" w:sz="4" w:space="0" w:color="000000"/>
                    <w:bottom w:val="single" w:sz="4" w:space="0" w:color="000000"/>
                    <w:right w:val="single" w:sz="4" w:space="0" w:color="000000"/>
                  </w:tcBorders>
                </w:tcPr>
                <w:p w14:paraId="1157511F" w14:textId="3A0EE3E6" w:rsidR="00654C27" w:rsidRPr="0060237B" w:rsidRDefault="00FF380F" w:rsidP="00654C27">
                  <w:pPr>
                    <w:rPr>
                      <w:rFonts w:asciiTheme="minorHAnsi" w:hAnsiTheme="minorHAnsi" w:cstheme="minorHAnsi"/>
                      <w:b/>
                      <w:bCs/>
                    </w:rPr>
                  </w:pPr>
                  <w:r w:rsidRPr="0060237B">
                    <w:rPr>
                      <w:rFonts w:asciiTheme="minorHAnsi" w:hAnsiTheme="minorHAnsi" w:cstheme="minorHAnsi"/>
                      <w:b/>
                      <w:bCs/>
                    </w:rPr>
                    <w:t>Diaspora Expert</w:t>
                  </w:r>
                </w:p>
              </w:tc>
            </w:tr>
            <w:tr w:rsidR="000F2B9B" w14:paraId="1EEE4C7A"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0871435C" w14:textId="77777777" w:rsidR="000F2B9B" w:rsidRPr="0060237B" w:rsidRDefault="000F2B9B" w:rsidP="00496C8D">
                  <w:pPr>
                    <w:rPr>
                      <w:rFonts w:asciiTheme="minorHAnsi" w:hAnsiTheme="minorHAnsi" w:cstheme="minorHAnsi"/>
                      <w:b/>
                      <w:bCs/>
                    </w:rPr>
                  </w:pPr>
                  <w:r w:rsidRPr="0060237B">
                    <w:rPr>
                      <w:rFonts w:asciiTheme="minorHAnsi" w:hAnsiTheme="minorHAnsi" w:cstheme="minorHAnsi"/>
                      <w:b/>
                      <w:bCs/>
                    </w:rPr>
                    <w:t>Date of Issue</w:t>
                  </w:r>
                </w:p>
              </w:tc>
              <w:tc>
                <w:tcPr>
                  <w:tcW w:w="5186" w:type="dxa"/>
                  <w:tcBorders>
                    <w:top w:val="single" w:sz="4" w:space="0" w:color="000000"/>
                    <w:left w:val="single" w:sz="4" w:space="0" w:color="000000"/>
                    <w:bottom w:val="single" w:sz="4" w:space="0" w:color="000000"/>
                    <w:right w:val="single" w:sz="4" w:space="0" w:color="000000"/>
                  </w:tcBorders>
                </w:tcPr>
                <w:p w14:paraId="7C31D611" w14:textId="3729A430" w:rsidR="000F2B9B" w:rsidRPr="0060237B" w:rsidRDefault="007D7E41" w:rsidP="00496C8D">
                  <w:pPr>
                    <w:rPr>
                      <w:rFonts w:asciiTheme="minorHAnsi" w:hAnsiTheme="minorHAnsi" w:cstheme="minorHAnsi"/>
                      <w:b/>
                      <w:bCs/>
                    </w:rPr>
                  </w:pPr>
                  <w:r w:rsidRPr="00B84532">
                    <w:rPr>
                      <w:rFonts w:asciiTheme="minorHAnsi" w:hAnsiTheme="minorHAnsi" w:cstheme="minorHAnsi"/>
                      <w:b/>
                      <w:bCs/>
                      <w:highlight w:val="yellow"/>
                    </w:rPr>
                    <w:t>07 October</w:t>
                  </w:r>
                  <w:r w:rsidR="00B22B18" w:rsidRPr="00B84532">
                    <w:rPr>
                      <w:rFonts w:asciiTheme="minorHAnsi" w:hAnsiTheme="minorHAnsi" w:cstheme="minorHAnsi"/>
                      <w:b/>
                      <w:bCs/>
                      <w:highlight w:val="yellow"/>
                    </w:rPr>
                    <w:t xml:space="preserve"> </w:t>
                  </w:r>
                  <w:r w:rsidR="00DB0B6F" w:rsidRPr="00B84532">
                    <w:rPr>
                      <w:rFonts w:asciiTheme="minorHAnsi" w:hAnsiTheme="minorHAnsi" w:cstheme="minorHAnsi"/>
                      <w:b/>
                      <w:bCs/>
                      <w:highlight w:val="yellow"/>
                    </w:rPr>
                    <w:t>2024</w:t>
                  </w:r>
                </w:p>
              </w:tc>
            </w:tr>
            <w:tr w:rsidR="008131E0" w14:paraId="6ADDCCD6" w14:textId="77777777" w:rsidTr="00F53AD4">
              <w:trPr>
                <w:trHeight w:val="311"/>
              </w:trPr>
              <w:tc>
                <w:tcPr>
                  <w:tcW w:w="4134" w:type="dxa"/>
                  <w:tcBorders>
                    <w:top w:val="single" w:sz="4" w:space="0" w:color="000000"/>
                    <w:left w:val="single" w:sz="4" w:space="0" w:color="000000"/>
                    <w:bottom w:val="single" w:sz="4" w:space="0" w:color="000000"/>
                    <w:right w:val="single" w:sz="4" w:space="0" w:color="000000"/>
                  </w:tcBorders>
                </w:tcPr>
                <w:p w14:paraId="124FED80" w14:textId="2A16D0D7" w:rsidR="008131E0" w:rsidRPr="0060237B" w:rsidRDefault="008131E0" w:rsidP="008131E0">
                  <w:pPr>
                    <w:rPr>
                      <w:rFonts w:asciiTheme="minorHAnsi" w:hAnsiTheme="minorHAnsi" w:cstheme="minorHAnsi"/>
                      <w:b/>
                      <w:bCs/>
                    </w:rPr>
                  </w:pPr>
                  <w:r w:rsidRPr="0060237B">
                    <w:rPr>
                      <w:rFonts w:asciiTheme="minorHAnsi" w:hAnsiTheme="minorHAnsi" w:cstheme="minorHAnsi"/>
                      <w:b/>
                      <w:bCs/>
                    </w:rPr>
                    <w:t>Duty Station</w:t>
                  </w:r>
                </w:p>
              </w:tc>
              <w:tc>
                <w:tcPr>
                  <w:tcW w:w="5186" w:type="dxa"/>
                  <w:tcBorders>
                    <w:top w:val="single" w:sz="4" w:space="0" w:color="000000"/>
                    <w:left w:val="single" w:sz="4" w:space="0" w:color="000000"/>
                    <w:bottom w:val="single" w:sz="4" w:space="0" w:color="000000"/>
                    <w:right w:val="single" w:sz="4" w:space="0" w:color="000000"/>
                  </w:tcBorders>
                </w:tcPr>
                <w:p w14:paraId="1F57156E" w14:textId="13D13200" w:rsidR="008131E0" w:rsidRPr="0060237B" w:rsidRDefault="00D511AE" w:rsidP="008131E0">
                  <w:pPr>
                    <w:rPr>
                      <w:rFonts w:asciiTheme="minorHAnsi" w:hAnsiTheme="minorHAnsi" w:cstheme="minorHAnsi"/>
                      <w:b/>
                      <w:bCs/>
                    </w:rPr>
                  </w:pPr>
                  <w:r w:rsidRPr="0060237B">
                    <w:rPr>
                      <w:b/>
                      <w:bCs/>
                    </w:rPr>
                    <w:t>Ministry of Health and Human Services, Federal Government of Somalia,</w:t>
                  </w:r>
                  <w:r w:rsidR="00DB0B6F" w:rsidRPr="0060237B">
                    <w:rPr>
                      <w:b/>
                      <w:bCs/>
                    </w:rPr>
                    <w:t xml:space="preserve"> Mogadishu</w:t>
                  </w:r>
                  <w:r w:rsidRPr="0060237B">
                    <w:rPr>
                      <w:b/>
                      <w:bCs/>
                    </w:rPr>
                    <w:t xml:space="preserve">, Somalia </w:t>
                  </w:r>
                </w:p>
              </w:tc>
            </w:tr>
            <w:tr w:rsidR="007F6414" w14:paraId="58650A82" w14:textId="77777777" w:rsidTr="00F53AD4">
              <w:trPr>
                <w:trHeight w:val="324"/>
              </w:trPr>
              <w:tc>
                <w:tcPr>
                  <w:tcW w:w="4134" w:type="dxa"/>
                  <w:tcBorders>
                    <w:top w:val="single" w:sz="4" w:space="0" w:color="000000"/>
                    <w:left w:val="single" w:sz="4" w:space="0" w:color="000000"/>
                    <w:bottom w:val="single" w:sz="4" w:space="0" w:color="000000"/>
                    <w:right w:val="single" w:sz="4" w:space="0" w:color="000000"/>
                  </w:tcBorders>
                </w:tcPr>
                <w:p w14:paraId="02ACFC35" w14:textId="65B9FA1B" w:rsidR="007F6414" w:rsidRPr="0060237B" w:rsidRDefault="007F6414" w:rsidP="00496C8D">
                  <w:pPr>
                    <w:rPr>
                      <w:rFonts w:asciiTheme="minorHAnsi" w:hAnsiTheme="minorHAnsi" w:cstheme="minorHAnsi"/>
                      <w:b/>
                      <w:bCs/>
                    </w:rPr>
                  </w:pPr>
                  <w:r w:rsidRPr="0060237B">
                    <w:rPr>
                      <w:rFonts w:asciiTheme="minorHAnsi" w:hAnsiTheme="minorHAnsi" w:cstheme="minorHAnsi"/>
                      <w:b/>
                      <w:bCs/>
                    </w:rPr>
                    <w:t>Duration of Assignment</w:t>
                  </w:r>
                </w:p>
              </w:tc>
              <w:tc>
                <w:tcPr>
                  <w:tcW w:w="5186" w:type="dxa"/>
                  <w:tcBorders>
                    <w:top w:val="single" w:sz="4" w:space="0" w:color="000000"/>
                    <w:left w:val="single" w:sz="4" w:space="0" w:color="000000"/>
                    <w:bottom w:val="single" w:sz="4" w:space="0" w:color="000000"/>
                    <w:right w:val="single" w:sz="4" w:space="0" w:color="000000"/>
                  </w:tcBorders>
                </w:tcPr>
                <w:p w14:paraId="41544197" w14:textId="77777777" w:rsidR="007F6414" w:rsidRPr="0060237B" w:rsidRDefault="00303933" w:rsidP="00496C8D">
                  <w:pPr>
                    <w:rPr>
                      <w:rFonts w:asciiTheme="minorHAnsi" w:hAnsiTheme="minorHAnsi" w:cstheme="minorHAnsi"/>
                      <w:b/>
                      <w:bCs/>
                    </w:rPr>
                  </w:pPr>
                  <w:r w:rsidRPr="0060237B">
                    <w:rPr>
                      <w:rFonts w:asciiTheme="minorHAnsi" w:eastAsia="Times New Roman" w:hAnsiTheme="minorHAnsi" w:cstheme="minorHAnsi"/>
                      <w:b/>
                      <w:bCs/>
                      <w:color w:val="000000" w:themeColor="text1"/>
                    </w:rPr>
                    <w:t>12 months</w:t>
                  </w:r>
                </w:p>
              </w:tc>
            </w:tr>
            <w:tr w:rsidR="007F6414" w14:paraId="64599AD2" w14:textId="77777777" w:rsidTr="00F53AD4">
              <w:trPr>
                <w:trHeight w:val="345"/>
              </w:trPr>
              <w:tc>
                <w:tcPr>
                  <w:tcW w:w="4134" w:type="dxa"/>
                  <w:tcBorders>
                    <w:top w:val="single" w:sz="4" w:space="0" w:color="000000"/>
                    <w:left w:val="single" w:sz="4" w:space="0" w:color="000000"/>
                    <w:bottom w:val="single" w:sz="4" w:space="0" w:color="000000"/>
                    <w:right w:val="single" w:sz="4" w:space="0" w:color="000000"/>
                  </w:tcBorders>
                </w:tcPr>
                <w:p w14:paraId="3751071A" w14:textId="0A3B9F3E" w:rsidR="007F6414" w:rsidRPr="0060237B" w:rsidRDefault="007F6414" w:rsidP="00496C8D">
                  <w:pPr>
                    <w:rPr>
                      <w:rFonts w:asciiTheme="minorHAnsi" w:hAnsiTheme="minorHAnsi" w:cstheme="minorHAnsi"/>
                      <w:b/>
                      <w:bCs/>
                    </w:rPr>
                  </w:pPr>
                  <w:r w:rsidRPr="0060237B">
                    <w:rPr>
                      <w:rFonts w:asciiTheme="minorHAnsi" w:hAnsiTheme="minorHAnsi" w:cstheme="minorHAnsi"/>
                      <w:b/>
                      <w:bCs/>
                    </w:rPr>
                    <w:t>Deadline for Applications</w:t>
                  </w:r>
                </w:p>
              </w:tc>
              <w:tc>
                <w:tcPr>
                  <w:tcW w:w="5186" w:type="dxa"/>
                  <w:tcBorders>
                    <w:top w:val="single" w:sz="4" w:space="0" w:color="000000"/>
                    <w:left w:val="single" w:sz="4" w:space="0" w:color="000000"/>
                    <w:bottom w:val="single" w:sz="4" w:space="0" w:color="000000"/>
                    <w:right w:val="single" w:sz="4" w:space="0" w:color="000000"/>
                  </w:tcBorders>
                </w:tcPr>
                <w:p w14:paraId="3A8A3D2C" w14:textId="7D34A249" w:rsidR="007F6414" w:rsidRPr="0060237B" w:rsidRDefault="00D511AE" w:rsidP="00496C8D">
                  <w:pPr>
                    <w:rPr>
                      <w:rFonts w:asciiTheme="minorHAnsi" w:hAnsiTheme="minorHAnsi" w:cstheme="minorHAnsi"/>
                      <w:b/>
                      <w:bCs/>
                    </w:rPr>
                  </w:pPr>
                  <w:r w:rsidRPr="00B84532">
                    <w:rPr>
                      <w:rFonts w:asciiTheme="minorHAnsi" w:hAnsiTheme="minorHAnsi" w:cstheme="minorHAnsi"/>
                      <w:b/>
                      <w:bCs/>
                      <w:highlight w:val="yellow"/>
                    </w:rPr>
                    <w:t>2</w:t>
                  </w:r>
                  <w:r w:rsidR="007D7E41" w:rsidRPr="00B84532">
                    <w:rPr>
                      <w:rFonts w:asciiTheme="minorHAnsi" w:hAnsiTheme="minorHAnsi" w:cstheme="minorHAnsi"/>
                      <w:b/>
                      <w:bCs/>
                      <w:highlight w:val="yellow"/>
                    </w:rPr>
                    <w:t>8</w:t>
                  </w:r>
                  <w:r w:rsidRPr="00B84532">
                    <w:rPr>
                      <w:rFonts w:asciiTheme="minorHAnsi" w:hAnsiTheme="minorHAnsi" w:cstheme="minorHAnsi"/>
                      <w:b/>
                      <w:bCs/>
                      <w:highlight w:val="yellow"/>
                    </w:rPr>
                    <w:t xml:space="preserve"> October 2024</w:t>
                  </w:r>
                </w:p>
              </w:tc>
            </w:tr>
          </w:tbl>
          <w:p w14:paraId="5C956253" w14:textId="77777777" w:rsidR="007F6414" w:rsidRDefault="007F6414" w:rsidP="00496C8D">
            <w:r>
              <w:rPr>
                <w:sz w:val="21"/>
              </w:rPr>
              <w:t xml:space="preserve">    </w:t>
            </w:r>
          </w:p>
        </w:tc>
      </w:tr>
      <w:tr w:rsidR="007F6414" w14:paraId="26A699F6" w14:textId="77777777" w:rsidTr="00806BC0">
        <w:trPr>
          <w:trHeight w:val="284"/>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4CCB19B9" w14:textId="77777777" w:rsidR="007F6414" w:rsidRPr="00806BC0" w:rsidRDefault="007F6414" w:rsidP="00496C8D">
            <w:pPr>
              <w:rPr>
                <w:b/>
                <w:bCs/>
              </w:rPr>
            </w:pPr>
            <w:r w:rsidRPr="000D2066">
              <w:rPr>
                <w:b/>
                <w:bCs/>
                <w:sz w:val="23"/>
              </w:rPr>
              <w:t xml:space="preserve">II. Background Information  </w:t>
            </w:r>
          </w:p>
        </w:tc>
      </w:tr>
      <w:tr w:rsidR="007F6414" w:rsidRPr="00061795" w14:paraId="723F4997" w14:textId="77777777" w:rsidTr="001510D3">
        <w:trPr>
          <w:trHeight w:val="1252"/>
        </w:trPr>
        <w:tc>
          <w:tcPr>
            <w:tcW w:w="9999" w:type="dxa"/>
            <w:tcBorders>
              <w:top w:val="single" w:sz="4" w:space="0" w:color="000000"/>
              <w:left w:val="single" w:sz="4" w:space="0" w:color="000000"/>
              <w:bottom w:val="single" w:sz="4" w:space="0" w:color="000000"/>
              <w:right w:val="single" w:sz="4" w:space="0" w:color="000000"/>
            </w:tcBorders>
          </w:tcPr>
          <w:p w14:paraId="2D6D1F8F" w14:textId="77777777" w:rsidR="00A20071" w:rsidRPr="00453734" w:rsidRDefault="00A20071" w:rsidP="00A20071">
            <w:pPr>
              <w:spacing w:after="160" w:line="259" w:lineRule="auto"/>
              <w:rPr>
                <w:b/>
                <w:bCs/>
              </w:rPr>
            </w:pPr>
            <w:r w:rsidRPr="00453734">
              <w:rPr>
                <w:b/>
                <w:bCs/>
              </w:rPr>
              <w:t xml:space="preserve">About the MIDA FINNSOM </w:t>
            </w:r>
            <w:r>
              <w:rPr>
                <w:b/>
                <w:bCs/>
              </w:rPr>
              <w:t xml:space="preserve">III, </w:t>
            </w:r>
            <w:r w:rsidRPr="00453734">
              <w:rPr>
                <w:b/>
                <w:bCs/>
              </w:rPr>
              <w:t xml:space="preserve">Health </w:t>
            </w:r>
            <w:r>
              <w:rPr>
                <w:b/>
                <w:bCs/>
              </w:rPr>
              <w:t xml:space="preserve">and Education Project </w:t>
            </w:r>
          </w:p>
          <w:p w14:paraId="4E607DC0" w14:textId="77777777" w:rsidR="00A20071" w:rsidRPr="00453734" w:rsidRDefault="00A20071" w:rsidP="00A20071">
            <w:pPr>
              <w:spacing w:after="160" w:line="259" w:lineRule="auto"/>
              <w:jc w:val="both"/>
            </w:pPr>
            <w:r w:rsidRPr="00453734">
              <w:t>The past decades have seen continued migration from various African countries, causing a “brain drain” that has debilitated various public sector systems across the continent. Through the IOM Migration for Development in Africa (MIDA)</w:t>
            </w:r>
            <w:r>
              <w:t xml:space="preserve"> </w:t>
            </w:r>
            <w:proofErr w:type="spellStart"/>
            <w:r>
              <w:t>programme</w:t>
            </w:r>
            <w:proofErr w:type="spellEnd"/>
            <w:r w:rsidRPr="00453734">
              <w:t xml:space="preserve">, Somali diaspora professionals have supported institutional capacity building, service delivery, and policy development of health </w:t>
            </w:r>
            <w:r>
              <w:t xml:space="preserve">and education </w:t>
            </w:r>
            <w:r w:rsidRPr="00453734">
              <w:t>institutions across Somali</w:t>
            </w:r>
            <w:r>
              <w:t>a</w:t>
            </w:r>
            <w:r w:rsidRPr="00453734">
              <w:t xml:space="preserve"> since 20</w:t>
            </w:r>
            <w:r>
              <w:t>15</w:t>
            </w:r>
            <w:r w:rsidRPr="00453734">
              <w:t xml:space="preserve">. </w:t>
            </w:r>
          </w:p>
          <w:p w14:paraId="42528183" w14:textId="4291396F" w:rsidR="00073ED4" w:rsidRPr="00061795" w:rsidRDefault="00A20071" w:rsidP="00A20071">
            <w:pPr>
              <w:spacing w:line="239" w:lineRule="auto"/>
              <w:rPr>
                <w:rFonts w:asciiTheme="minorHAnsi" w:hAnsiTheme="minorHAnsi" w:cstheme="minorHAnsi"/>
              </w:rPr>
            </w:pPr>
            <w:r w:rsidRPr="00DA344B">
              <w:t xml:space="preserve">The MIDA FINNSOM PHASE III – Health &amp; Education project – contributes to strengthening the Health and Education sectors in Somalia towards achieving specific priorities in the Education Sector Strategic Plan (ESSP) and the Essential Package for Health Services (EPHS), as prioritized and outlined by the government. The project aims to do so by engaging and enhancing the role of qualified Somali diaspora experts willing to temporarily return to their country of origin. </w:t>
            </w:r>
            <w:r w:rsidR="0060237B" w:rsidRPr="00DA344B">
              <w:t>Through</w:t>
            </w:r>
            <w:r w:rsidRPr="00DA344B">
              <w:t xml:space="preserve"> assignments within key ministries and public institutions (including hospitals and universities), Somali diaspora experts contribute </w:t>
            </w:r>
            <w:r w:rsidR="0060237B">
              <w:t xml:space="preserve">to </w:t>
            </w:r>
            <w:r w:rsidRPr="00DA344B">
              <w:t>addressing gaps and enhancing strengths in the planning and delivery of health and education services,</w:t>
            </w:r>
            <w:r w:rsidR="0060237B">
              <w:t xml:space="preserve"> particularly in the areas of sexual and reproductive health and rights (SRHR) in the health sector, and teacher training and curriculum development in the education sector.</w:t>
            </w:r>
            <w:r w:rsidRPr="00DA344B">
              <w:t xml:space="preserve"> Furthermore, a component of the project is devoted toward contributing to the creation of stable and sustainable access to employment opportunities in the health and education sectors for local experts and interns, who will work in close coordination with the Somali diaspora experts - therefore reaping long-terms benefits of knowledge transfer, competencies sharing and skills development.</w:t>
            </w:r>
          </w:p>
        </w:tc>
      </w:tr>
      <w:tr w:rsidR="007F6414" w:rsidRPr="00061795" w14:paraId="23764AE4" w14:textId="77777777" w:rsidTr="002B681B">
        <w:trPr>
          <w:trHeight w:val="391"/>
        </w:trPr>
        <w:tc>
          <w:tcPr>
            <w:tcW w:w="9999" w:type="dxa"/>
            <w:tcBorders>
              <w:top w:val="single" w:sz="4" w:space="0" w:color="000000"/>
              <w:left w:val="single" w:sz="4" w:space="0" w:color="000000"/>
              <w:bottom w:val="single" w:sz="4" w:space="0" w:color="000000"/>
              <w:right w:val="single" w:sz="4" w:space="0" w:color="000000"/>
            </w:tcBorders>
            <w:shd w:val="clear" w:color="auto" w:fill="E0E0E0"/>
          </w:tcPr>
          <w:p w14:paraId="00F71F3E" w14:textId="77777777" w:rsidR="007F6414" w:rsidRPr="002B681B" w:rsidRDefault="007F6414" w:rsidP="00496C8D">
            <w:pPr>
              <w:rPr>
                <w:rFonts w:asciiTheme="minorHAnsi" w:hAnsiTheme="minorHAnsi" w:cstheme="minorHAnsi"/>
                <w:b/>
                <w:bCs/>
              </w:rPr>
            </w:pPr>
            <w:r w:rsidRPr="00061795">
              <w:rPr>
                <w:rFonts w:asciiTheme="minorHAnsi" w:hAnsiTheme="minorHAnsi" w:cstheme="minorHAnsi"/>
                <w:b/>
                <w:bCs/>
              </w:rPr>
              <w:t xml:space="preserve">III. Duties &amp; Responsibilities  </w:t>
            </w:r>
          </w:p>
        </w:tc>
      </w:tr>
      <w:tr w:rsidR="00EA4475" w:rsidRPr="00061795" w14:paraId="0FE5DDFA" w14:textId="77777777" w:rsidTr="00846F36">
        <w:trPr>
          <w:trHeight w:val="896"/>
        </w:trPr>
        <w:tc>
          <w:tcPr>
            <w:tcW w:w="9999" w:type="dxa"/>
            <w:tcBorders>
              <w:top w:val="single" w:sz="4" w:space="0" w:color="000000"/>
              <w:left w:val="single" w:sz="4" w:space="0" w:color="000000"/>
              <w:bottom w:val="single" w:sz="3" w:space="0" w:color="000000"/>
              <w:right w:val="single" w:sz="4" w:space="0" w:color="000000"/>
            </w:tcBorders>
          </w:tcPr>
          <w:p w14:paraId="65083875" w14:textId="39DCE6D5" w:rsidR="00A20071" w:rsidRPr="00F40533" w:rsidRDefault="00A20071" w:rsidP="00A20071">
            <w:pPr>
              <w:jc w:val="both"/>
            </w:pPr>
            <w:r w:rsidRPr="00F40533">
              <w:t xml:space="preserve">The Federal Government of Somalia’s Ministry of Health and Human </w:t>
            </w:r>
            <w:r w:rsidR="00D511AE">
              <w:t>S</w:t>
            </w:r>
            <w:r w:rsidRPr="00F40533">
              <w:t>ervices (</w:t>
            </w:r>
            <w:proofErr w:type="spellStart"/>
            <w:r w:rsidRPr="00F40533">
              <w:t>MoHHS</w:t>
            </w:r>
            <w:proofErr w:type="spellEnd"/>
            <w:r w:rsidRPr="00F40533">
              <w:t xml:space="preserve">), through the technical assistance provided by the IOM MIDA FINNSOM III Health and education project, seeks to </w:t>
            </w:r>
            <w:r w:rsidR="00D511AE">
              <w:t xml:space="preserve">enhance </w:t>
            </w:r>
            <w:r w:rsidRPr="00F40533">
              <w:t>the skills</w:t>
            </w:r>
            <w:r w:rsidR="00D511AE">
              <w:t xml:space="preserve"> of targeted health professionals across public hospital in Somalia on mental healt</w:t>
            </w:r>
            <w:r w:rsidR="0060237B">
              <w:t>h, particularly in relation to SRHR and sensitizing mental health among health professionals and communities.</w:t>
            </w:r>
            <w:r w:rsidR="00D511AE">
              <w:t xml:space="preserve"> </w:t>
            </w:r>
          </w:p>
          <w:p w14:paraId="076AC489" w14:textId="50E7E9E5" w:rsidR="00A20071" w:rsidRPr="00F40533" w:rsidRDefault="00A20071" w:rsidP="00A20071">
            <w:pPr>
              <w:jc w:val="both"/>
            </w:pPr>
            <w:r w:rsidRPr="00F40533">
              <w:lastRenderedPageBreak/>
              <w:t xml:space="preserve">Under the overall guidance and direct supervision of </w:t>
            </w:r>
            <w:r w:rsidR="0060237B">
              <w:t xml:space="preserve">the </w:t>
            </w:r>
            <w:proofErr w:type="spellStart"/>
            <w:r w:rsidR="0060237B">
              <w:t>MoHHS</w:t>
            </w:r>
            <w:proofErr w:type="spellEnd"/>
            <w:r w:rsidR="00953684">
              <w:t>,</w:t>
            </w:r>
            <w:r w:rsidR="0060237B">
              <w:t xml:space="preserve"> the</w:t>
            </w:r>
            <w:r w:rsidRPr="00F40533">
              <w:t xml:space="preserve"> </w:t>
            </w:r>
            <w:r w:rsidR="00FF380F" w:rsidRPr="00F40533">
              <w:t>Mental Health Specialist</w:t>
            </w:r>
            <w:r w:rsidRPr="00F40533">
              <w:t xml:space="preserve"> will carry out the following duties and responsibilities:</w:t>
            </w:r>
          </w:p>
          <w:p w14:paraId="56F93AF1" w14:textId="57F0C5E8" w:rsidR="00CE6D20" w:rsidRPr="00F40533" w:rsidRDefault="00CE6D20" w:rsidP="00CE6D20">
            <w:pPr>
              <w:rPr>
                <w:rFonts w:asciiTheme="minorHAnsi" w:hAnsiTheme="minorHAnsi" w:cstheme="minorHAnsi"/>
                <w:color w:val="auto"/>
                <w:lang w:val="en-GB"/>
              </w:rPr>
            </w:pPr>
          </w:p>
          <w:p w14:paraId="763658C9" w14:textId="34DD459B" w:rsidR="00FF380F" w:rsidRPr="00F40533"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 xml:space="preserve">Provide evidence-based psychotherapy to </w:t>
            </w:r>
            <w:r w:rsidR="00A42C81">
              <w:rPr>
                <w:rFonts w:asciiTheme="minorHAnsi" w:hAnsiTheme="minorHAnsi" w:cstheme="minorHAnsi"/>
                <w:lang w:val="en-GB"/>
              </w:rPr>
              <w:t xml:space="preserve">patients with </w:t>
            </w:r>
            <w:r w:rsidR="00A42C81">
              <w:t xml:space="preserve">post-partum depression, family counselling, psycho-social </w:t>
            </w:r>
            <w:r w:rsidR="00B22B18">
              <w:t>counselling,</w:t>
            </w:r>
            <w:r w:rsidR="00A42C81">
              <w:rPr>
                <w:rFonts w:asciiTheme="minorHAnsi" w:hAnsiTheme="minorHAnsi" w:cstheme="minorHAnsi"/>
                <w:lang w:val="en-GB"/>
              </w:rPr>
              <w:t xml:space="preserve"> </w:t>
            </w:r>
          </w:p>
          <w:p w14:paraId="2EEE2E4C" w14:textId="04A84799" w:rsidR="00FF380F"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Administer and interpret psychological tests and assessments to aid in diagnosis and treatment planning.</w:t>
            </w:r>
          </w:p>
          <w:p w14:paraId="31BEBBDC" w14:textId="541BF605" w:rsidR="00A42C81" w:rsidRPr="00F40533" w:rsidRDefault="00A42C81" w:rsidP="00FF380F">
            <w:pPr>
              <w:numPr>
                <w:ilvl w:val="0"/>
                <w:numId w:val="12"/>
              </w:numPr>
              <w:jc w:val="both"/>
              <w:rPr>
                <w:rFonts w:asciiTheme="minorHAnsi" w:hAnsiTheme="minorHAnsi" w:cstheme="minorHAnsi"/>
                <w:lang w:val="en-GB"/>
              </w:rPr>
            </w:pPr>
            <w:r>
              <w:rPr>
                <w:rFonts w:asciiTheme="minorHAnsi" w:hAnsiTheme="minorHAnsi" w:cstheme="minorHAnsi"/>
                <w:lang w:val="en-GB"/>
              </w:rPr>
              <w:t>Conduct counselling for families seeking psychosocial counselling in SRHR.</w:t>
            </w:r>
          </w:p>
          <w:p w14:paraId="3A2D59B8" w14:textId="4DE9DD0F" w:rsidR="00FF380F" w:rsidRPr="00F40533"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Collaborate with a multidisciplinary team, including psychiatrists, psychologists, social workers, and nurses, to ensure coordinated and holistic care for patients.</w:t>
            </w:r>
          </w:p>
          <w:p w14:paraId="1FD271CD" w14:textId="77128724" w:rsidR="00FF380F" w:rsidRPr="00F40533"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 xml:space="preserve">Provide counselling for patients with history </w:t>
            </w:r>
            <w:r w:rsidR="00A934C7">
              <w:rPr>
                <w:rFonts w:asciiTheme="minorHAnsi" w:hAnsiTheme="minorHAnsi" w:cstheme="minorHAnsi"/>
                <w:lang w:val="en-GB"/>
              </w:rPr>
              <w:t>of gender-based violence.</w:t>
            </w:r>
          </w:p>
          <w:p w14:paraId="61F44D21" w14:textId="1A565D27" w:rsidR="00FF380F"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Monitor and evaluate clients' progress regularly, adjusting treatment plans as necessary to ensure optimal outcomes.</w:t>
            </w:r>
          </w:p>
          <w:p w14:paraId="4FBA1062" w14:textId="7C8B9143" w:rsidR="00A959EE" w:rsidRDefault="00A959EE" w:rsidP="00FF380F">
            <w:pPr>
              <w:numPr>
                <w:ilvl w:val="0"/>
                <w:numId w:val="12"/>
              </w:numPr>
              <w:jc w:val="both"/>
              <w:rPr>
                <w:rFonts w:asciiTheme="minorHAnsi" w:hAnsiTheme="minorHAnsi" w:cstheme="minorHAnsi"/>
                <w:lang w:val="en-GB"/>
              </w:rPr>
            </w:pPr>
            <w:r>
              <w:rPr>
                <w:rFonts w:asciiTheme="minorHAnsi" w:hAnsiTheme="minorHAnsi" w:cstheme="minorHAnsi"/>
                <w:lang w:val="en-GB"/>
              </w:rPr>
              <w:t>Develop guidelines and SOP for mental health related health care approach when the need is present</w:t>
            </w:r>
          </w:p>
          <w:p w14:paraId="26284E21" w14:textId="5BCFEDE5" w:rsidR="00A959EE" w:rsidRPr="00F40533" w:rsidRDefault="0060237B" w:rsidP="00FF380F">
            <w:pPr>
              <w:numPr>
                <w:ilvl w:val="0"/>
                <w:numId w:val="12"/>
              </w:numPr>
              <w:jc w:val="both"/>
              <w:rPr>
                <w:rFonts w:asciiTheme="minorHAnsi" w:hAnsiTheme="minorHAnsi" w:cstheme="minorHAnsi"/>
                <w:lang w:val="en-GB"/>
              </w:rPr>
            </w:pPr>
            <w:r>
              <w:rPr>
                <w:rFonts w:asciiTheme="minorHAnsi" w:hAnsiTheme="minorHAnsi" w:cstheme="minorHAnsi"/>
                <w:lang w:val="en-GB"/>
              </w:rPr>
              <w:t>Carry out</w:t>
            </w:r>
            <w:r w:rsidR="00A959EE">
              <w:rPr>
                <w:rFonts w:asciiTheme="minorHAnsi" w:hAnsiTheme="minorHAnsi" w:cstheme="minorHAnsi"/>
                <w:lang w:val="en-GB"/>
              </w:rPr>
              <w:t xml:space="preserve"> </w:t>
            </w:r>
            <w:r>
              <w:rPr>
                <w:rFonts w:asciiTheme="minorHAnsi" w:hAnsiTheme="minorHAnsi" w:cstheme="minorHAnsi"/>
                <w:lang w:val="en-GB"/>
              </w:rPr>
              <w:t>rotational short-term</w:t>
            </w:r>
            <w:r w:rsidR="00A959EE">
              <w:rPr>
                <w:rFonts w:asciiTheme="minorHAnsi" w:hAnsiTheme="minorHAnsi" w:cstheme="minorHAnsi"/>
                <w:lang w:val="en-GB"/>
              </w:rPr>
              <w:t xml:space="preserve"> assignments </w:t>
            </w:r>
            <w:r>
              <w:rPr>
                <w:rFonts w:asciiTheme="minorHAnsi" w:hAnsiTheme="minorHAnsi" w:cstheme="minorHAnsi"/>
                <w:lang w:val="en-GB"/>
              </w:rPr>
              <w:t>to the different member</w:t>
            </w:r>
            <w:r w:rsidR="00A959EE">
              <w:rPr>
                <w:rFonts w:asciiTheme="minorHAnsi" w:hAnsiTheme="minorHAnsi" w:cstheme="minorHAnsi"/>
                <w:lang w:val="en-GB"/>
              </w:rPr>
              <w:t xml:space="preserve"> state health institutions </w:t>
            </w:r>
          </w:p>
          <w:p w14:paraId="3C34C1DA" w14:textId="2A8996BA" w:rsidR="00FF380F" w:rsidRPr="00F40533" w:rsidRDefault="00FF380F" w:rsidP="00FF380F">
            <w:pPr>
              <w:numPr>
                <w:ilvl w:val="0"/>
                <w:numId w:val="12"/>
              </w:numPr>
              <w:jc w:val="both"/>
              <w:rPr>
                <w:rFonts w:asciiTheme="minorHAnsi" w:hAnsiTheme="minorHAnsi" w:cstheme="minorHAnsi"/>
                <w:lang w:val="en-GB"/>
              </w:rPr>
            </w:pPr>
            <w:r w:rsidRPr="00F40533">
              <w:rPr>
                <w:rFonts w:asciiTheme="minorHAnsi" w:hAnsiTheme="minorHAnsi" w:cstheme="minorHAnsi"/>
                <w:lang w:val="en-GB"/>
              </w:rPr>
              <w:t>Educate patients and their families about mental health conditions, treatment options, coping strategies, and community resources.</w:t>
            </w:r>
          </w:p>
          <w:p w14:paraId="299432D1" w14:textId="5FA4D80E" w:rsidR="00027197" w:rsidRPr="00F40533" w:rsidRDefault="00027197" w:rsidP="00027197">
            <w:pPr>
              <w:numPr>
                <w:ilvl w:val="0"/>
                <w:numId w:val="12"/>
              </w:numPr>
              <w:jc w:val="both"/>
              <w:rPr>
                <w:rFonts w:asciiTheme="minorHAnsi" w:hAnsiTheme="minorHAnsi" w:cstheme="minorHAnsi"/>
                <w:lang w:val="en-GB"/>
              </w:rPr>
            </w:pPr>
            <w:r w:rsidRPr="00F40533">
              <w:rPr>
                <w:rFonts w:asciiTheme="minorHAnsi" w:hAnsiTheme="minorHAnsi" w:cstheme="minorHAnsi"/>
                <w:lang w:val="en-GB"/>
              </w:rPr>
              <w:t xml:space="preserve">Perform tests to obtain information about patients’ medical conditions. </w:t>
            </w:r>
          </w:p>
          <w:p w14:paraId="356E4C40" w14:textId="02C859E3" w:rsidR="00027197" w:rsidRPr="00F40533" w:rsidRDefault="00027197" w:rsidP="00027197">
            <w:pPr>
              <w:numPr>
                <w:ilvl w:val="0"/>
                <w:numId w:val="12"/>
              </w:numPr>
              <w:jc w:val="both"/>
              <w:rPr>
                <w:rFonts w:asciiTheme="minorHAnsi" w:hAnsiTheme="minorHAnsi" w:cstheme="minorHAnsi"/>
                <w:lang w:val="en-GB"/>
              </w:rPr>
            </w:pPr>
            <w:r w:rsidRPr="00F40533">
              <w:rPr>
                <w:rFonts w:asciiTheme="minorHAnsi" w:hAnsiTheme="minorHAnsi" w:cstheme="minorHAnsi"/>
                <w:lang w:val="en-GB"/>
              </w:rPr>
              <w:t xml:space="preserve">Study patients’ history and health assessment. </w:t>
            </w:r>
          </w:p>
          <w:p w14:paraId="6370024C" w14:textId="7DC15E49" w:rsidR="00027197" w:rsidRPr="00F40533" w:rsidRDefault="00FF380F" w:rsidP="00687A7D">
            <w:pPr>
              <w:numPr>
                <w:ilvl w:val="0"/>
                <w:numId w:val="12"/>
              </w:numPr>
              <w:jc w:val="both"/>
              <w:rPr>
                <w:rFonts w:asciiTheme="minorHAnsi" w:hAnsiTheme="minorHAnsi" w:cstheme="minorHAnsi"/>
                <w:lang w:val="en-GB"/>
              </w:rPr>
            </w:pPr>
            <w:r w:rsidRPr="00F40533">
              <w:rPr>
                <w:rFonts w:asciiTheme="minorHAnsi" w:hAnsiTheme="minorHAnsi" w:cstheme="minorHAnsi"/>
                <w:lang w:val="en-GB"/>
              </w:rPr>
              <w:t>Provide crisis intervention services to individuals experiencing acute psychological distress or suicidal ideation</w:t>
            </w:r>
            <w:r w:rsidR="00586FEF" w:rsidRPr="00F40533">
              <w:rPr>
                <w:rFonts w:asciiTheme="minorHAnsi" w:hAnsiTheme="minorHAnsi" w:cstheme="minorHAnsi"/>
                <w:lang w:val="en-GB"/>
              </w:rPr>
              <w:t>.</w:t>
            </w:r>
            <w:r w:rsidR="00027197" w:rsidRPr="00F40533">
              <w:rPr>
                <w:rFonts w:asciiTheme="minorHAnsi" w:hAnsiTheme="minorHAnsi" w:cstheme="minorHAnsi"/>
                <w:lang w:val="en-GB"/>
              </w:rPr>
              <w:t xml:space="preserve"> </w:t>
            </w:r>
          </w:p>
          <w:p w14:paraId="3CAAFCEA" w14:textId="69C1D36E" w:rsidR="00027197" w:rsidRPr="00F40533" w:rsidRDefault="00F40533" w:rsidP="00F40533">
            <w:pPr>
              <w:pStyle w:val="CommentText"/>
              <w:numPr>
                <w:ilvl w:val="0"/>
                <w:numId w:val="12"/>
              </w:numPr>
              <w:rPr>
                <w:rFonts w:asciiTheme="minorHAnsi" w:hAnsiTheme="minorHAnsi" w:cstheme="minorHAnsi"/>
                <w:color w:val="auto"/>
                <w:sz w:val="22"/>
                <w:lang w:val="en-GB"/>
              </w:rPr>
            </w:pPr>
            <w:r w:rsidRPr="00F40533">
              <w:rPr>
                <w:color w:val="auto"/>
                <w:sz w:val="22"/>
                <w:highlight w:val="white"/>
              </w:rPr>
              <w:t>Develop mental health outreach initiatives, conduct psychoeducation sessions and awareness-raising activities in the targeted communities</w:t>
            </w:r>
            <w:r w:rsidRPr="00F40533">
              <w:rPr>
                <w:color w:val="auto"/>
                <w:sz w:val="22"/>
              </w:rPr>
              <w:t xml:space="preserve"> </w:t>
            </w:r>
          </w:p>
          <w:p w14:paraId="0FB1F3C5" w14:textId="0733E716" w:rsidR="00D85AE6" w:rsidRPr="00B22B18" w:rsidRDefault="00D85AE6" w:rsidP="00B22B18">
            <w:pPr>
              <w:pStyle w:val="ListParagraph"/>
              <w:numPr>
                <w:ilvl w:val="0"/>
                <w:numId w:val="12"/>
              </w:numPr>
              <w:rPr>
                <w:rFonts w:asciiTheme="minorHAnsi" w:hAnsiTheme="minorHAnsi" w:cstheme="minorHAnsi"/>
                <w:color w:val="auto"/>
                <w:highlight w:val="yellow"/>
                <w:lang w:val="en-GB"/>
              </w:rPr>
            </w:pPr>
            <w:r w:rsidRPr="00F40533">
              <w:rPr>
                <w:rFonts w:asciiTheme="minorHAnsi" w:hAnsiTheme="minorHAnsi" w:cstheme="minorHAnsi"/>
                <w:color w:val="auto"/>
                <w:lang w:val="en-GB"/>
              </w:rPr>
              <w:t>Provide on-the-job training an</w:t>
            </w:r>
            <w:r w:rsidR="00FF380F" w:rsidRPr="00F40533">
              <w:rPr>
                <w:rFonts w:asciiTheme="minorHAnsi" w:hAnsiTheme="minorHAnsi" w:cstheme="minorHAnsi"/>
                <w:color w:val="auto"/>
                <w:lang w:val="en-GB"/>
              </w:rPr>
              <w:t>d mentoring to the health staff.</w:t>
            </w:r>
          </w:p>
          <w:p w14:paraId="3E4D848D" w14:textId="6D34E7FE" w:rsidR="00CE6D20" w:rsidRPr="00B22B18" w:rsidRDefault="00CE6D20" w:rsidP="00B22B18">
            <w:pPr>
              <w:pStyle w:val="ListParagraph"/>
              <w:numPr>
                <w:ilvl w:val="0"/>
                <w:numId w:val="12"/>
              </w:numPr>
              <w:rPr>
                <w:rFonts w:asciiTheme="minorHAnsi" w:hAnsiTheme="minorHAnsi" w:cstheme="minorHAnsi"/>
                <w:color w:val="auto"/>
                <w:lang w:val="en-GB"/>
              </w:rPr>
            </w:pPr>
            <w:r w:rsidRPr="00F40533">
              <w:rPr>
                <w:rFonts w:asciiTheme="minorHAnsi" w:hAnsiTheme="minorHAnsi" w:cstheme="minorHAnsi"/>
                <w:color w:val="auto"/>
                <w:lang w:val="en-GB"/>
              </w:rPr>
              <w:t>Make ethical decisions related to consent and confidentiality</w:t>
            </w:r>
            <w:r w:rsidR="00A343B2" w:rsidRPr="00F40533">
              <w:rPr>
                <w:rFonts w:asciiTheme="minorHAnsi" w:hAnsiTheme="minorHAnsi" w:cstheme="minorHAnsi"/>
                <w:color w:val="auto"/>
                <w:lang w:val="en-GB"/>
              </w:rPr>
              <w:t>.</w:t>
            </w:r>
            <w:r w:rsidRPr="00F40533">
              <w:rPr>
                <w:rFonts w:asciiTheme="minorHAnsi" w:hAnsiTheme="minorHAnsi" w:cstheme="minorHAnsi"/>
                <w:color w:val="auto"/>
                <w:lang w:val="en-GB"/>
              </w:rPr>
              <w:t xml:space="preserve"> </w:t>
            </w:r>
          </w:p>
          <w:p w14:paraId="719C2FE2" w14:textId="04C8CCC5" w:rsidR="00F40533" w:rsidRPr="00F40533" w:rsidRDefault="00CE6D20" w:rsidP="00F40533">
            <w:pPr>
              <w:pStyle w:val="ListParagraph"/>
              <w:numPr>
                <w:ilvl w:val="0"/>
                <w:numId w:val="12"/>
              </w:numPr>
              <w:rPr>
                <w:color w:val="000000" w:themeColor="text1"/>
              </w:rPr>
            </w:pPr>
            <w:r w:rsidRPr="00F40533">
              <w:rPr>
                <w:rFonts w:asciiTheme="minorHAnsi" w:hAnsiTheme="minorHAnsi" w:cstheme="minorHAnsi"/>
                <w:color w:val="auto"/>
                <w:lang w:val="en-GB"/>
              </w:rPr>
              <w:t xml:space="preserve">Participate in team meetings and other meetings and </w:t>
            </w:r>
            <w:r w:rsidR="00A343B2" w:rsidRPr="00F40533">
              <w:rPr>
                <w:rFonts w:asciiTheme="minorHAnsi" w:hAnsiTheme="minorHAnsi" w:cstheme="minorHAnsi"/>
                <w:color w:val="auto"/>
                <w:lang w:val="en-GB"/>
              </w:rPr>
              <w:t>training</w:t>
            </w:r>
            <w:r w:rsidRPr="00F40533">
              <w:rPr>
                <w:rFonts w:asciiTheme="minorHAnsi" w:hAnsiTheme="minorHAnsi" w:cstheme="minorHAnsi"/>
                <w:color w:val="auto"/>
                <w:lang w:val="en-GB"/>
              </w:rPr>
              <w:t xml:space="preserve"> as management</w:t>
            </w:r>
            <w:r w:rsidR="00F40533" w:rsidRPr="00F40533" w:rsidDel="00F40533">
              <w:rPr>
                <w:rFonts w:asciiTheme="minorHAnsi" w:hAnsiTheme="minorHAnsi" w:cstheme="minorHAnsi"/>
                <w:color w:val="auto"/>
                <w:lang w:val="en-GB"/>
              </w:rPr>
              <w:t xml:space="preserve"> </w:t>
            </w:r>
            <w:r w:rsidR="00F40533" w:rsidRPr="00F40533">
              <w:rPr>
                <w:color w:val="000000" w:themeColor="text1"/>
                <w:highlight w:val="white"/>
              </w:rPr>
              <w:t>Work with counterparts in the Ministry of Health and other national entities/ institutions to improve capacity in the MHPSS response at national level</w:t>
            </w:r>
            <w:r w:rsidR="00F40533" w:rsidRPr="00F40533">
              <w:rPr>
                <w:color w:val="000000" w:themeColor="text1"/>
              </w:rPr>
              <w:t xml:space="preserve"> </w:t>
            </w:r>
          </w:p>
        </w:tc>
      </w:tr>
    </w:tbl>
    <w:p w14:paraId="4174423D" w14:textId="77777777" w:rsidR="004B562A" w:rsidRPr="00061795" w:rsidRDefault="004B562A" w:rsidP="00261F43">
      <w:pPr>
        <w:spacing w:after="0"/>
        <w:ind w:right="7570"/>
        <w:rPr>
          <w:rFonts w:asciiTheme="minorHAnsi" w:hAnsiTheme="minorHAnsi" w:cstheme="minorHAnsi"/>
        </w:rPr>
      </w:pPr>
    </w:p>
    <w:tbl>
      <w:tblPr>
        <w:tblStyle w:val="TableGrid"/>
        <w:tblW w:w="10007" w:type="dxa"/>
        <w:tblInd w:w="-104" w:type="dxa"/>
        <w:tblCellMar>
          <w:top w:w="52" w:type="dxa"/>
          <w:left w:w="104" w:type="dxa"/>
          <w:right w:w="56" w:type="dxa"/>
        </w:tblCellMar>
        <w:tblLook w:val="04A0" w:firstRow="1" w:lastRow="0" w:firstColumn="1" w:lastColumn="0" w:noHBand="0" w:noVBand="1"/>
      </w:tblPr>
      <w:tblGrid>
        <w:gridCol w:w="10007"/>
      </w:tblGrid>
      <w:tr w:rsidR="007F6414" w:rsidRPr="00061795" w14:paraId="2E411858" w14:textId="77777777" w:rsidTr="00092001">
        <w:trPr>
          <w:trHeight w:val="298"/>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p w14:paraId="241E020B" w14:textId="77777777" w:rsidR="007F6414" w:rsidRPr="00092001" w:rsidRDefault="00EA4475" w:rsidP="00496C8D">
            <w:pPr>
              <w:rPr>
                <w:rFonts w:asciiTheme="minorHAnsi" w:hAnsiTheme="minorHAnsi" w:cstheme="minorHAnsi"/>
                <w:b/>
                <w:bCs/>
              </w:rPr>
            </w:pPr>
            <w:r>
              <w:rPr>
                <w:rFonts w:asciiTheme="minorHAnsi" w:hAnsiTheme="minorHAnsi" w:cstheme="minorHAnsi"/>
                <w:b/>
                <w:bCs/>
              </w:rPr>
              <w:t xml:space="preserve">IV. </w:t>
            </w:r>
            <w:r w:rsidR="007F6414" w:rsidRPr="00061795">
              <w:rPr>
                <w:rFonts w:asciiTheme="minorHAnsi" w:hAnsiTheme="minorHAnsi" w:cstheme="minorHAnsi"/>
                <w:b/>
                <w:bCs/>
              </w:rPr>
              <w:t xml:space="preserve">Requirements </w:t>
            </w:r>
          </w:p>
        </w:tc>
      </w:tr>
      <w:tr w:rsidR="00A20071" w:rsidRPr="00061795" w14:paraId="1BE98A36" w14:textId="77777777" w:rsidTr="00092001">
        <w:trPr>
          <w:trHeight w:val="298"/>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p w14:paraId="25E17815" w14:textId="77777777" w:rsidR="0060237B" w:rsidRPr="0060237B" w:rsidRDefault="0060237B" w:rsidP="0060237B">
            <w:pPr>
              <w:spacing w:before="100" w:beforeAutospacing="1" w:after="100" w:afterAutospacing="1" w:line="312" w:lineRule="atLeast"/>
              <w:jc w:val="both"/>
              <w:rPr>
                <w:rFonts w:cs="Arial"/>
              </w:rPr>
            </w:pPr>
            <w:r w:rsidRPr="0060237B">
              <w:rPr>
                <w:rFonts w:cs="Arial"/>
              </w:rPr>
              <w:t xml:space="preserve">Besides the specific outputs mentioned in section III, IOM requires the following deliverables to be completed throughout the assignment. These are the standard requirements for all MIDA assignments: </w:t>
            </w:r>
          </w:p>
          <w:p w14:paraId="55C88901" w14:textId="77777777" w:rsidR="0060237B" w:rsidRPr="0060237B" w:rsidRDefault="0060237B" w:rsidP="0060237B">
            <w:pPr>
              <w:numPr>
                <w:ilvl w:val="0"/>
                <w:numId w:val="16"/>
              </w:numPr>
              <w:spacing w:before="100" w:beforeAutospacing="1" w:after="100" w:afterAutospacing="1" w:line="312" w:lineRule="atLeast"/>
              <w:jc w:val="both"/>
              <w:rPr>
                <w:rFonts w:cs="Arial"/>
              </w:rPr>
            </w:pPr>
            <w:r w:rsidRPr="0060237B">
              <w:rPr>
                <w:rFonts w:cs="Arial"/>
                <w:b/>
                <w:bCs/>
              </w:rPr>
              <w:t>Transfer of skills:</w:t>
            </w:r>
            <w:r w:rsidRPr="0060237B">
              <w:rPr>
                <w:rFonts w:cs="Arial"/>
              </w:rPr>
              <w:t xml:space="preserve"> The main responsibility of the qualified Somali expatriate—which he/she will be measured against—will be to ensure continuous and systematic transfer of knowledge and skills as related to the assignment. It will have to be agreed with the beneficiary institution the staff will benefit from this knowledge.  </w:t>
            </w:r>
          </w:p>
          <w:p w14:paraId="093CE13B" w14:textId="77777777" w:rsidR="0060237B" w:rsidRPr="0060237B" w:rsidRDefault="0060237B" w:rsidP="0060237B">
            <w:pPr>
              <w:numPr>
                <w:ilvl w:val="0"/>
                <w:numId w:val="16"/>
              </w:numPr>
              <w:spacing w:before="100" w:beforeAutospacing="1" w:after="100" w:afterAutospacing="1" w:line="312" w:lineRule="atLeast"/>
              <w:jc w:val="both"/>
              <w:rPr>
                <w:rFonts w:cs="Arial"/>
              </w:rPr>
            </w:pPr>
            <w:r w:rsidRPr="0060237B">
              <w:rPr>
                <w:rFonts w:cs="Arial"/>
                <w:b/>
                <w:bCs/>
              </w:rPr>
              <w:t>Work plan:</w:t>
            </w:r>
            <w:r w:rsidRPr="0060237B">
              <w:rPr>
                <w:rFonts w:cs="Arial"/>
              </w:rPr>
              <w:t xml:space="preserve"> A work plan must be developed with the supervisor during the first month of the assignment to provide clear and time-bound activities to successfully implement the outputs of the assignment. This work plan will be shared with IOM as per the stipulated deliverable schedule in the supplementary contract. This work plan can be revised during the assignment to reflect on new developments or changes.  </w:t>
            </w:r>
          </w:p>
          <w:p w14:paraId="7F993D31" w14:textId="77777777" w:rsidR="0060237B" w:rsidRPr="0060237B" w:rsidRDefault="0060237B" w:rsidP="0060237B">
            <w:pPr>
              <w:numPr>
                <w:ilvl w:val="0"/>
                <w:numId w:val="16"/>
              </w:numPr>
              <w:spacing w:before="100" w:beforeAutospacing="1" w:after="100" w:afterAutospacing="1" w:line="312" w:lineRule="atLeast"/>
              <w:jc w:val="both"/>
              <w:rPr>
                <w:rFonts w:cs="Arial"/>
              </w:rPr>
            </w:pPr>
            <w:r w:rsidRPr="0060237B">
              <w:rPr>
                <w:rFonts w:cs="Arial"/>
                <w:b/>
                <w:bCs/>
              </w:rPr>
              <w:lastRenderedPageBreak/>
              <w:t>Quarterly and Final Reports:</w:t>
            </w:r>
            <w:r w:rsidRPr="0060237B">
              <w:rPr>
                <w:rFonts w:cs="Arial"/>
              </w:rPr>
              <w:t xml:space="preserve"> Quarterly progress reports will be submitted by the expert to IOM, based on the outlined deliverable schedule in the supplementary contract, following the review and approval of the expert’s supervisor. At the end of the assignment, the participant must also provide a final report covering the entire duration of his/her assignment. </w:t>
            </w:r>
          </w:p>
          <w:p w14:paraId="72569793" w14:textId="77777777" w:rsidR="0060237B" w:rsidRDefault="0060237B" w:rsidP="0060237B">
            <w:pPr>
              <w:numPr>
                <w:ilvl w:val="0"/>
                <w:numId w:val="16"/>
              </w:numPr>
              <w:spacing w:before="100" w:beforeAutospacing="1" w:after="100" w:afterAutospacing="1" w:line="312" w:lineRule="atLeast"/>
              <w:jc w:val="both"/>
              <w:rPr>
                <w:rFonts w:cs="Arial"/>
              </w:rPr>
            </w:pPr>
            <w:r w:rsidRPr="0060237B">
              <w:rPr>
                <w:rFonts w:cs="Arial"/>
                <w:b/>
              </w:rPr>
              <w:t xml:space="preserve">Exit interview: </w:t>
            </w:r>
            <w:r w:rsidRPr="0060237B">
              <w:rPr>
                <w:rFonts w:cs="Arial"/>
              </w:rPr>
              <w:t xml:space="preserve">An exit interview will be conducted to ensure that a proper exit plan has been put in place to sustain the achievements, upon completion of the assignment. </w:t>
            </w:r>
          </w:p>
          <w:p w14:paraId="1BACF2E9" w14:textId="779A37AB" w:rsidR="00A20071" w:rsidRPr="0060237B" w:rsidRDefault="0060237B" w:rsidP="0060237B">
            <w:pPr>
              <w:numPr>
                <w:ilvl w:val="0"/>
                <w:numId w:val="16"/>
              </w:numPr>
              <w:spacing w:before="100" w:beforeAutospacing="1" w:after="100" w:afterAutospacing="1" w:line="312" w:lineRule="atLeast"/>
              <w:jc w:val="both"/>
              <w:rPr>
                <w:rFonts w:cs="Arial"/>
              </w:rPr>
            </w:pPr>
            <w:r w:rsidRPr="0060237B">
              <w:rPr>
                <w:rFonts w:cs="Arial"/>
                <w:b/>
                <w:bCs/>
              </w:rPr>
              <w:t>Monthly Timesheets:</w:t>
            </w:r>
            <w:r w:rsidRPr="0060237B">
              <w:rPr>
                <w:rFonts w:cs="Arial"/>
              </w:rPr>
              <w:t xml:space="preserve"> Timesheets documenting the workdays for each month must be completed and signed by both the MIDA participant and their supervisor.</w:t>
            </w:r>
          </w:p>
          <w:p w14:paraId="6342FCCF" w14:textId="49C6E186" w:rsidR="0060237B" w:rsidRPr="00A20071" w:rsidRDefault="0060237B" w:rsidP="0060237B">
            <w:pPr>
              <w:spacing w:before="100" w:beforeAutospacing="1" w:after="100" w:afterAutospacing="1" w:line="312" w:lineRule="atLeast"/>
              <w:jc w:val="both"/>
              <w:rPr>
                <w:rFonts w:cs="Arial"/>
              </w:rPr>
            </w:pPr>
          </w:p>
        </w:tc>
      </w:tr>
      <w:tr w:rsidR="007F6414" w:rsidRPr="00061795" w14:paraId="4B35C06A" w14:textId="77777777" w:rsidTr="001B0E8E">
        <w:trPr>
          <w:trHeight w:val="554"/>
        </w:trPr>
        <w:tc>
          <w:tcPr>
            <w:tcW w:w="10007" w:type="dxa"/>
            <w:tcBorders>
              <w:top w:val="single" w:sz="4" w:space="0" w:color="000000"/>
              <w:left w:val="single" w:sz="4" w:space="0" w:color="000000"/>
              <w:bottom w:val="single" w:sz="4" w:space="0" w:color="000000"/>
              <w:right w:val="single" w:sz="4" w:space="0" w:color="000000"/>
            </w:tcBorders>
            <w:shd w:val="clear" w:color="auto" w:fill="E0E0E0"/>
          </w:tcPr>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tblGrid>
            <w:tr w:rsidR="00454434" w:rsidRPr="00061795" w14:paraId="1DB1BBDE" w14:textId="77777777" w:rsidTr="00DE312F">
              <w:trPr>
                <w:trHeight w:val="512"/>
              </w:trPr>
              <w:tc>
                <w:tcPr>
                  <w:tcW w:w="9837" w:type="dxa"/>
                  <w:shd w:val="clear" w:color="auto" w:fill="E0E0E0"/>
                </w:tcPr>
                <w:p w14:paraId="090D7462" w14:textId="77777777" w:rsidR="00454434" w:rsidRPr="00061795" w:rsidRDefault="00454434" w:rsidP="00454434">
                  <w:pPr>
                    <w:pStyle w:val="Heading1"/>
                    <w:rPr>
                      <w:rFonts w:asciiTheme="minorHAnsi" w:hAnsiTheme="minorHAnsi" w:cstheme="minorHAnsi"/>
                      <w:sz w:val="22"/>
                      <w:szCs w:val="22"/>
                    </w:rPr>
                  </w:pPr>
                  <w:r w:rsidRPr="00061795">
                    <w:rPr>
                      <w:rFonts w:asciiTheme="minorHAnsi" w:hAnsiTheme="minorHAnsi" w:cstheme="minorHAnsi"/>
                      <w:sz w:val="22"/>
                      <w:szCs w:val="22"/>
                    </w:rPr>
                    <w:lastRenderedPageBreak/>
                    <w:t>V. Qualifications</w:t>
                  </w:r>
                </w:p>
                <w:p w14:paraId="643699A8" w14:textId="77777777" w:rsidR="00454434" w:rsidRPr="00061795" w:rsidRDefault="00454434" w:rsidP="00454434">
                  <w:pPr>
                    <w:pStyle w:val="Heading1"/>
                    <w:rPr>
                      <w:rFonts w:asciiTheme="minorHAnsi" w:hAnsiTheme="minorHAnsi" w:cstheme="minorHAnsi"/>
                      <w:b w:val="0"/>
                      <w:bCs w:val="0"/>
                      <w:sz w:val="22"/>
                      <w:szCs w:val="22"/>
                    </w:rPr>
                  </w:pPr>
                </w:p>
              </w:tc>
            </w:tr>
            <w:tr w:rsidR="00454434" w:rsidRPr="00061795" w14:paraId="2769537E" w14:textId="77777777" w:rsidTr="00DD4E0B">
              <w:trPr>
                <w:trHeight w:val="1266"/>
              </w:trPr>
              <w:tc>
                <w:tcPr>
                  <w:tcW w:w="9837" w:type="dxa"/>
                  <w:shd w:val="clear" w:color="auto" w:fill="auto"/>
                </w:tcPr>
                <w:p w14:paraId="4680F476" w14:textId="77777777" w:rsidR="00454434" w:rsidRPr="00061795" w:rsidRDefault="00454434" w:rsidP="0045443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19"/>
                  </w:tblGrid>
                  <w:tr w:rsidR="00454434" w:rsidRPr="001622C5" w14:paraId="35B28352" w14:textId="77777777" w:rsidTr="00DE312F">
                    <w:trPr>
                      <w:trHeight w:val="289"/>
                    </w:trPr>
                    <w:tc>
                      <w:tcPr>
                        <w:tcW w:w="4238" w:type="dxa"/>
                      </w:tcPr>
                      <w:p w14:paraId="5C2F3147" w14:textId="77777777" w:rsidR="00454434" w:rsidRPr="00061795" w:rsidRDefault="00454434" w:rsidP="00454434">
                        <w:pPr>
                          <w:rPr>
                            <w:rFonts w:asciiTheme="minorHAnsi" w:hAnsiTheme="minorHAnsi" w:cstheme="minorHAnsi"/>
                            <w:b/>
                          </w:rPr>
                        </w:pPr>
                        <w:r w:rsidRPr="00061795">
                          <w:rPr>
                            <w:rFonts w:asciiTheme="minorHAnsi" w:hAnsiTheme="minorHAnsi" w:cstheme="minorHAnsi"/>
                            <w:b/>
                          </w:rPr>
                          <w:t>Level of Education:</w:t>
                        </w:r>
                      </w:p>
                    </w:tc>
                    <w:tc>
                      <w:tcPr>
                        <w:tcW w:w="5319" w:type="dxa"/>
                      </w:tcPr>
                      <w:p w14:paraId="1982458A" w14:textId="09A30322" w:rsidR="00454434" w:rsidRPr="0060237B" w:rsidRDefault="004F4B95" w:rsidP="0060237B">
                        <w:pPr>
                          <w:numPr>
                            <w:ilvl w:val="0"/>
                            <w:numId w:val="11"/>
                          </w:numPr>
                          <w:spacing w:after="0" w:line="240" w:lineRule="auto"/>
                          <w:rPr>
                            <w:rFonts w:asciiTheme="minorHAnsi" w:eastAsia="Times New Roman" w:hAnsiTheme="minorHAnsi" w:cstheme="minorHAnsi"/>
                            <w:color w:val="auto"/>
                          </w:rPr>
                        </w:pPr>
                        <w:r w:rsidRPr="008C610F">
                          <w:rPr>
                            <w:rFonts w:asciiTheme="minorHAnsi" w:eastAsia="Times New Roman" w:hAnsiTheme="minorHAnsi" w:cstheme="minorHAnsi"/>
                            <w:color w:val="auto"/>
                          </w:rPr>
                          <w:t>Minimum: BSc</w:t>
                        </w:r>
                        <w:r w:rsidR="005E5041" w:rsidRPr="008C610F">
                          <w:rPr>
                            <w:rFonts w:asciiTheme="minorHAnsi" w:eastAsia="Times New Roman" w:hAnsiTheme="minorHAnsi" w:cstheme="minorHAnsi"/>
                            <w:color w:val="auto"/>
                          </w:rPr>
                          <w:t xml:space="preserve"> </w:t>
                        </w:r>
                        <w:r w:rsidR="00586FEF" w:rsidRPr="008C610F">
                          <w:rPr>
                            <w:rFonts w:asciiTheme="minorHAnsi" w:eastAsia="Times New Roman" w:hAnsiTheme="minorHAnsi" w:cstheme="minorHAnsi"/>
                            <w:color w:val="auto"/>
                          </w:rPr>
                          <w:t>Psychology</w:t>
                        </w:r>
                        <w:r w:rsidR="0060237B">
                          <w:rPr>
                            <w:rFonts w:asciiTheme="minorHAnsi" w:eastAsia="Times New Roman" w:hAnsiTheme="minorHAnsi" w:cstheme="minorHAnsi"/>
                            <w:color w:val="auto"/>
                          </w:rPr>
                          <w:t xml:space="preserve">; </w:t>
                        </w:r>
                        <w:r w:rsidRPr="0060237B">
                          <w:rPr>
                            <w:rFonts w:asciiTheme="minorHAnsi" w:eastAsia="Times New Roman" w:hAnsiTheme="minorHAnsi" w:cstheme="minorHAnsi"/>
                            <w:color w:val="auto"/>
                          </w:rPr>
                          <w:t xml:space="preserve">Desired: </w:t>
                        </w:r>
                        <w:r w:rsidR="0060237B" w:rsidRPr="0060237B">
                          <w:rPr>
                            <w:rFonts w:asciiTheme="minorHAnsi" w:eastAsia="Times New Roman" w:hAnsiTheme="minorHAnsi" w:cstheme="minorHAnsi"/>
                            <w:color w:val="auto"/>
                          </w:rPr>
                          <w:t>MSc in C</w:t>
                        </w:r>
                        <w:r w:rsidR="001622C5" w:rsidRPr="0060237B">
                          <w:rPr>
                            <w:rFonts w:asciiTheme="minorHAnsi" w:eastAsia="Times New Roman" w:hAnsiTheme="minorHAnsi" w:cstheme="minorHAnsi"/>
                            <w:color w:val="auto"/>
                          </w:rPr>
                          <w:t xml:space="preserve">linical </w:t>
                        </w:r>
                        <w:r w:rsidR="0060237B" w:rsidRPr="0060237B">
                          <w:rPr>
                            <w:rFonts w:asciiTheme="minorHAnsi" w:eastAsia="Times New Roman" w:hAnsiTheme="minorHAnsi" w:cstheme="minorHAnsi"/>
                            <w:color w:val="auto"/>
                          </w:rPr>
                          <w:t>P</w:t>
                        </w:r>
                        <w:r w:rsidR="001622C5" w:rsidRPr="0060237B">
                          <w:rPr>
                            <w:rFonts w:asciiTheme="minorHAnsi" w:eastAsia="Times New Roman" w:hAnsiTheme="minorHAnsi" w:cstheme="minorHAnsi"/>
                            <w:color w:val="auto"/>
                          </w:rPr>
                          <w:t xml:space="preserve">sychology, </w:t>
                        </w:r>
                        <w:r w:rsidR="0060237B" w:rsidRPr="0060237B">
                          <w:rPr>
                            <w:rFonts w:asciiTheme="minorHAnsi" w:eastAsia="Times New Roman" w:hAnsiTheme="minorHAnsi" w:cstheme="minorHAnsi"/>
                            <w:color w:val="auto"/>
                          </w:rPr>
                          <w:t>P</w:t>
                        </w:r>
                        <w:r w:rsidR="00B22B18" w:rsidRPr="0060237B">
                          <w:rPr>
                            <w:rFonts w:asciiTheme="minorHAnsi" w:eastAsia="Times New Roman" w:hAnsiTheme="minorHAnsi" w:cstheme="minorHAnsi"/>
                            <w:color w:val="auto"/>
                          </w:rPr>
                          <w:t>sychiatr</w:t>
                        </w:r>
                        <w:r w:rsidR="0060237B" w:rsidRPr="0060237B">
                          <w:rPr>
                            <w:rFonts w:asciiTheme="minorHAnsi" w:eastAsia="Times New Roman" w:hAnsiTheme="minorHAnsi" w:cstheme="minorHAnsi"/>
                            <w:color w:val="auto"/>
                          </w:rPr>
                          <w:t>y</w:t>
                        </w:r>
                      </w:p>
                    </w:tc>
                  </w:tr>
                  <w:tr w:rsidR="004F4B95" w:rsidRPr="00061795" w14:paraId="724135DC" w14:textId="77777777" w:rsidTr="00DE312F">
                    <w:trPr>
                      <w:trHeight w:val="273"/>
                    </w:trPr>
                    <w:tc>
                      <w:tcPr>
                        <w:tcW w:w="4238" w:type="dxa"/>
                      </w:tcPr>
                      <w:p w14:paraId="1C649F82"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Years of work experience in what area(s):</w:t>
                        </w:r>
                      </w:p>
                    </w:tc>
                    <w:tc>
                      <w:tcPr>
                        <w:tcW w:w="5319" w:type="dxa"/>
                      </w:tcPr>
                      <w:p w14:paraId="5B47F2FA" w14:textId="40773271" w:rsidR="004F4B95" w:rsidRPr="00364887" w:rsidRDefault="00586FEF" w:rsidP="000A0A03">
                        <w:pPr>
                          <w:numPr>
                            <w:ilvl w:val="0"/>
                            <w:numId w:val="11"/>
                          </w:numPr>
                          <w:spacing w:after="0" w:line="240" w:lineRule="auto"/>
                          <w:jc w:val="both"/>
                          <w:rPr>
                            <w:rFonts w:asciiTheme="minorHAnsi" w:eastAsia="Times New Roman" w:hAnsiTheme="minorHAnsi" w:cstheme="minorHAnsi"/>
                            <w:color w:val="auto"/>
                          </w:rPr>
                        </w:pPr>
                        <w:r>
                          <w:rPr>
                            <w:rFonts w:asciiTheme="minorHAnsi" w:hAnsiTheme="minorHAnsi" w:cstheme="minorHAnsi"/>
                          </w:rPr>
                          <w:t>Minimum 5</w:t>
                        </w:r>
                        <w:r w:rsidR="004F4B95" w:rsidRPr="004F4B95">
                          <w:rPr>
                            <w:rFonts w:asciiTheme="minorHAnsi" w:hAnsiTheme="minorHAnsi" w:cstheme="minorHAnsi"/>
                          </w:rPr>
                          <w:t xml:space="preserve"> years of working experience as </w:t>
                        </w:r>
                        <w:r w:rsidR="0079105B">
                          <w:rPr>
                            <w:rFonts w:asciiTheme="minorHAnsi" w:hAnsiTheme="minorHAnsi" w:cstheme="minorHAnsi"/>
                          </w:rPr>
                          <w:t xml:space="preserve">a </w:t>
                        </w:r>
                        <w:r>
                          <w:rPr>
                            <w:rFonts w:asciiTheme="minorHAnsi" w:hAnsiTheme="minorHAnsi" w:cstheme="minorHAnsi"/>
                          </w:rPr>
                          <w:t>Mental Health Specialist</w:t>
                        </w:r>
                      </w:p>
                    </w:tc>
                  </w:tr>
                  <w:tr w:rsidR="004F4B95" w:rsidRPr="00061795" w14:paraId="3FB945EE" w14:textId="77777777" w:rsidTr="00DE312F">
                    <w:trPr>
                      <w:trHeight w:val="289"/>
                    </w:trPr>
                    <w:tc>
                      <w:tcPr>
                        <w:tcW w:w="4238" w:type="dxa"/>
                      </w:tcPr>
                      <w:p w14:paraId="4ABC3F58"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Languages needed:</w:t>
                        </w:r>
                      </w:p>
                    </w:tc>
                    <w:tc>
                      <w:tcPr>
                        <w:tcW w:w="5319" w:type="dxa"/>
                      </w:tcPr>
                      <w:p w14:paraId="32D6E7B7"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bookmarkStart w:id="0" w:name="_Hlk117248768"/>
                        <w:r w:rsidRPr="00364887">
                          <w:rPr>
                            <w:rFonts w:asciiTheme="minorHAnsi" w:eastAsia="Times New Roman" w:hAnsiTheme="minorHAnsi" w:cstheme="minorHAnsi"/>
                            <w:color w:val="auto"/>
                          </w:rPr>
                          <w:t>Fluent in English.</w:t>
                        </w:r>
                      </w:p>
                      <w:p w14:paraId="79841BA9"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r w:rsidRPr="00364887">
                          <w:rPr>
                            <w:rFonts w:asciiTheme="minorHAnsi" w:eastAsia="Times New Roman" w:hAnsiTheme="minorHAnsi" w:cstheme="minorHAnsi"/>
                            <w:color w:val="auto"/>
                          </w:rPr>
                          <w:t xml:space="preserve">Fluent in Somali. </w:t>
                        </w:r>
                      </w:p>
                      <w:p w14:paraId="5C262DD6" w14:textId="77777777" w:rsidR="004F4B95" w:rsidRPr="00364887" w:rsidRDefault="004F4B95" w:rsidP="004F4B95">
                        <w:pPr>
                          <w:numPr>
                            <w:ilvl w:val="0"/>
                            <w:numId w:val="11"/>
                          </w:numPr>
                          <w:spacing w:after="0" w:line="240" w:lineRule="auto"/>
                          <w:jc w:val="both"/>
                          <w:rPr>
                            <w:rFonts w:asciiTheme="minorHAnsi" w:eastAsia="Times New Roman" w:hAnsiTheme="minorHAnsi" w:cstheme="minorHAnsi"/>
                            <w:color w:val="auto"/>
                          </w:rPr>
                        </w:pPr>
                        <w:r w:rsidRPr="00364887">
                          <w:rPr>
                            <w:rFonts w:asciiTheme="minorHAnsi" w:hAnsiTheme="minorHAnsi" w:cstheme="minorHAnsi"/>
                          </w:rPr>
                          <w:t>Arabic language will be an advantage</w:t>
                        </w:r>
                        <w:bookmarkEnd w:id="0"/>
                        <w:r w:rsidRPr="00364887">
                          <w:rPr>
                            <w:rFonts w:asciiTheme="minorHAnsi" w:hAnsiTheme="minorHAnsi" w:cstheme="minorHAnsi"/>
                          </w:rPr>
                          <w:t>.</w:t>
                        </w:r>
                      </w:p>
                    </w:tc>
                  </w:tr>
                  <w:tr w:rsidR="004F4B95" w:rsidRPr="00061795" w14:paraId="5F859C4F" w14:textId="77777777" w:rsidTr="00DE312F">
                    <w:trPr>
                      <w:trHeight w:val="304"/>
                    </w:trPr>
                    <w:tc>
                      <w:tcPr>
                        <w:tcW w:w="4238" w:type="dxa"/>
                      </w:tcPr>
                      <w:p w14:paraId="41BC9779" w14:textId="77777777" w:rsidR="004F4B95" w:rsidRPr="00061795" w:rsidRDefault="004F4B95" w:rsidP="004F4B95">
                        <w:pPr>
                          <w:rPr>
                            <w:rFonts w:asciiTheme="minorHAnsi" w:hAnsiTheme="minorHAnsi" w:cstheme="minorHAnsi"/>
                            <w:b/>
                          </w:rPr>
                        </w:pPr>
                        <w:r w:rsidRPr="00061795">
                          <w:rPr>
                            <w:rFonts w:asciiTheme="minorHAnsi" w:hAnsiTheme="minorHAnsi" w:cstheme="minorHAnsi"/>
                            <w:b/>
                          </w:rPr>
                          <w:t>General Skills / Other Requirements:</w:t>
                        </w:r>
                      </w:p>
                    </w:tc>
                    <w:tc>
                      <w:tcPr>
                        <w:tcW w:w="5319" w:type="dxa"/>
                      </w:tcPr>
                      <w:p w14:paraId="58D501E8"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Experience in clinical teaching.</w:t>
                        </w:r>
                      </w:p>
                      <w:p w14:paraId="7EB70BFA"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Good communication and interpersonal skills.</w:t>
                        </w:r>
                      </w:p>
                      <w:p w14:paraId="4F5368D6" w14:textId="1B8EBCEA"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operate as part of a team and independently</w:t>
                        </w:r>
                        <w:r w:rsidR="00105F81">
                          <w:rPr>
                            <w:rFonts w:asciiTheme="minorHAnsi" w:eastAsia="Times New Roman" w:hAnsiTheme="minorHAnsi" w:cstheme="minorHAnsi"/>
                            <w:color w:val="auto"/>
                          </w:rPr>
                          <w:t>.</w:t>
                        </w:r>
                      </w:p>
                      <w:p w14:paraId="4DE9ACB0" w14:textId="77777777" w:rsidR="009254CD" w:rsidRPr="009254CD"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use Microsoft Office programs (Word, Excel, and PowerPoint) and web-based management systems.</w:t>
                        </w:r>
                      </w:p>
                      <w:p w14:paraId="66943A18" w14:textId="1892B8B4" w:rsidR="004F4B95" w:rsidRPr="00364887" w:rsidRDefault="009254CD" w:rsidP="009254CD">
                        <w:pPr>
                          <w:numPr>
                            <w:ilvl w:val="0"/>
                            <w:numId w:val="11"/>
                          </w:numPr>
                          <w:spacing w:after="0" w:line="240" w:lineRule="auto"/>
                          <w:jc w:val="both"/>
                          <w:rPr>
                            <w:rFonts w:asciiTheme="minorHAnsi" w:eastAsia="Times New Roman" w:hAnsiTheme="minorHAnsi" w:cstheme="minorHAnsi"/>
                            <w:color w:val="auto"/>
                          </w:rPr>
                        </w:pPr>
                        <w:r w:rsidRPr="009254CD">
                          <w:rPr>
                            <w:rFonts w:asciiTheme="minorHAnsi" w:eastAsia="Times New Roman" w:hAnsiTheme="minorHAnsi" w:cstheme="minorHAnsi"/>
                            <w:color w:val="auto"/>
                          </w:rPr>
                          <w:t>Ability to identify innovative approaches to problems in a challenging environment.</w:t>
                        </w:r>
                      </w:p>
                    </w:tc>
                  </w:tr>
                </w:tbl>
                <w:p w14:paraId="23CA6AA0" w14:textId="77777777" w:rsidR="00454434" w:rsidRPr="00061795" w:rsidRDefault="00454434" w:rsidP="00454434">
                  <w:pPr>
                    <w:rPr>
                      <w:rFonts w:asciiTheme="minorHAnsi" w:hAnsiTheme="minorHAnsi" w:cstheme="minorHAnsi"/>
                    </w:rPr>
                  </w:pPr>
                  <w:r w:rsidRPr="00061795">
                    <w:rPr>
                      <w:rFonts w:asciiTheme="minorHAnsi" w:hAnsiTheme="minorHAnsi" w:cstheme="minorHAnsi"/>
                    </w:rPr>
                    <w:t xml:space="preserve"> </w:t>
                  </w:r>
                </w:p>
              </w:tc>
            </w:tr>
          </w:tbl>
          <w:p w14:paraId="0EB4DAAC" w14:textId="77777777" w:rsidR="00E876F4" w:rsidRPr="00061795" w:rsidRDefault="00E876F4" w:rsidP="001D2B80">
            <w:pPr>
              <w:rPr>
                <w:rFonts w:asciiTheme="minorHAnsi" w:hAnsiTheme="minorHAnsi" w:cstheme="minorHAnsi"/>
              </w:rPr>
            </w:pPr>
          </w:p>
        </w:tc>
      </w:tr>
    </w:tbl>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08"/>
      </w:tblGrid>
      <w:tr w:rsidR="00A20071" w:rsidRPr="005A7499" w14:paraId="0AE45CE0" w14:textId="77777777" w:rsidTr="00A20071">
        <w:trPr>
          <w:trHeight w:val="512"/>
        </w:trPr>
        <w:tc>
          <w:tcPr>
            <w:tcW w:w="10008" w:type="dxa"/>
            <w:shd w:val="clear" w:color="auto" w:fill="E0E0E0"/>
          </w:tcPr>
          <w:p w14:paraId="4BC16A1A" w14:textId="77777777" w:rsidR="00A20071" w:rsidRDefault="00A20071" w:rsidP="001B6151">
            <w:pPr>
              <w:pStyle w:val="Heading1"/>
              <w:rPr>
                <w:b w:val="0"/>
                <w:bCs w:val="0"/>
                <w:sz w:val="20"/>
                <w:szCs w:val="20"/>
              </w:rPr>
            </w:pPr>
          </w:p>
          <w:p w14:paraId="56104FE5" w14:textId="77777777" w:rsidR="00A20071" w:rsidRPr="00370B0D" w:rsidRDefault="00A20071" w:rsidP="001B6151">
            <w:pPr>
              <w:pStyle w:val="Heading1"/>
              <w:rPr>
                <w:sz w:val="20"/>
                <w:szCs w:val="20"/>
              </w:rPr>
            </w:pPr>
            <w:r w:rsidRPr="00370B0D">
              <w:rPr>
                <w:sz w:val="20"/>
                <w:szCs w:val="20"/>
              </w:rPr>
              <w:t>VI: Subsistence Allowance</w:t>
            </w:r>
          </w:p>
          <w:p w14:paraId="4AD5E5F9" w14:textId="77777777" w:rsidR="00A20071" w:rsidRPr="005A7499" w:rsidRDefault="00A20071" w:rsidP="001B6151">
            <w:pPr>
              <w:pStyle w:val="Heading1"/>
              <w:rPr>
                <w:b w:val="0"/>
                <w:bCs w:val="0"/>
                <w:sz w:val="22"/>
              </w:rPr>
            </w:pPr>
          </w:p>
        </w:tc>
      </w:tr>
      <w:tr w:rsidR="00A20071" w:rsidRPr="00475336" w14:paraId="20020740" w14:textId="77777777" w:rsidTr="00A20071">
        <w:trPr>
          <w:cantSplit/>
          <w:trHeight w:val="90"/>
        </w:trPr>
        <w:tc>
          <w:tcPr>
            <w:tcW w:w="10008" w:type="dxa"/>
          </w:tcPr>
          <w:p w14:paraId="75CBA190" w14:textId="77777777" w:rsidR="00A20071" w:rsidRPr="00475336" w:rsidRDefault="00A20071" w:rsidP="001B6151">
            <w:pPr>
              <w:rPr>
                <w:rFonts w:cs="Arial"/>
              </w:rPr>
            </w:pPr>
            <w:r w:rsidRPr="008E64F0">
              <w:t xml:space="preserve">The monthly stipend amount will be determined by </w:t>
            </w:r>
            <w:r>
              <w:t xml:space="preserve">the </w:t>
            </w:r>
            <w:r w:rsidRPr="008E64F0">
              <w:t xml:space="preserve">MIDA FINNSOM </w:t>
            </w:r>
            <w:r>
              <w:t>III, Health and Education</w:t>
            </w:r>
            <w:r w:rsidRPr="008E64F0">
              <w:t xml:space="preserve"> </w:t>
            </w:r>
            <w:r>
              <w:t xml:space="preserve">project, </w:t>
            </w:r>
            <w:r w:rsidRPr="008E64F0">
              <w:t>based on degree and years of relevant experience</w:t>
            </w:r>
            <w:r>
              <w:t xml:space="preserve">. </w:t>
            </w:r>
            <w:r>
              <w:rPr>
                <w:rFonts w:cs="Arial"/>
              </w:rPr>
              <w:t xml:space="preserve">                                                                                                                                                        </w:t>
            </w:r>
          </w:p>
        </w:tc>
      </w:tr>
      <w:tr w:rsidR="00A20071" w:rsidRPr="005A7499" w14:paraId="4C689B2E" w14:textId="77777777" w:rsidTr="00A20071">
        <w:tblPrEx>
          <w:shd w:val="clear" w:color="auto" w:fill="auto"/>
        </w:tblPrEx>
        <w:trPr>
          <w:trHeight w:val="145"/>
        </w:trPr>
        <w:tc>
          <w:tcPr>
            <w:tcW w:w="10008" w:type="dxa"/>
            <w:shd w:val="clear" w:color="auto" w:fill="E0E0E0"/>
          </w:tcPr>
          <w:p w14:paraId="08DCF87F" w14:textId="77777777" w:rsidR="00A20071" w:rsidRPr="00370B0D" w:rsidRDefault="00A20071" w:rsidP="001B6151">
            <w:pPr>
              <w:pStyle w:val="Heading1"/>
              <w:rPr>
                <w:rFonts w:cs="Arial"/>
                <w:sz w:val="20"/>
                <w:szCs w:val="20"/>
              </w:rPr>
            </w:pPr>
            <w:r w:rsidRPr="00370B0D">
              <w:rPr>
                <w:rFonts w:cs="Arial"/>
                <w:sz w:val="20"/>
                <w:szCs w:val="20"/>
              </w:rPr>
              <w:lastRenderedPageBreak/>
              <w:t xml:space="preserve">VII: </w:t>
            </w:r>
            <w:r w:rsidRPr="00370B0D">
              <w:rPr>
                <w:sz w:val="20"/>
                <w:szCs w:val="20"/>
              </w:rPr>
              <w:t>How to apply</w:t>
            </w:r>
          </w:p>
          <w:p w14:paraId="2035D63D" w14:textId="77777777" w:rsidR="00A20071" w:rsidRPr="005A7499" w:rsidRDefault="00A20071" w:rsidP="001B6151">
            <w:pPr>
              <w:pStyle w:val="Heading1"/>
              <w:rPr>
                <w:rFonts w:cs="Arial"/>
                <w:b w:val="0"/>
                <w:bCs w:val="0"/>
                <w:sz w:val="22"/>
                <w:szCs w:val="22"/>
              </w:rPr>
            </w:pPr>
          </w:p>
        </w:tc>
      </w:tr>
      <w:tr w:rsidR="00A20071" w:rsidRPr="00475336" w14:paraId="6D6B880E" w14:textId="77777777" w:rsidTr="00A20071">
        <w:trPr>
          <w:cantSplit/>
          <w:trHeight w:val="90"/>
        </w:trPr>
        <w:tc>
          <w:tcPr>
            <w:tcW w:w="10008" w:type="dxa"/>
          </w:tcPr>
          <w:p w14:paraId="64161651" w14:textId="77777777" w:rsidR="00A20071" w:rsidRDefault="00A20071" w:rsidP="001B6151">
            <w:pPr>
              <w:spacing w:after="75"/>
              <w:jc w:val="both"/>
            </w:pPr>
            <w:r w:rsidRPr="008E64F0">
              <w:t xml:space="preserve">All applications must be sent </w:t>
            </w:r>
            <w:r>
              <w:t>via email to</w:t>
            </w:r>
            <w:r w:rsidRPr="008E64F0">
              <w:t>:</w:t>
            </w:r>
            <w:hyperlink r:id="rId8" w:history="1">
              <w:r w:rsidRPr="00984BD2">
                <w:rPr>
                  <w:rStyle w:val="Hyperlink"/>
                </w:rPr>
                <w:t xml:space="preserve"> midasomvacancy@iom.int</w:t>
              </w:r>
            </w:hyperlink>
            <w:r w:rsidRPr="008E64F0">
              <w:t xml:space="preserve"> with the following reference as a subject in your e-mail: APPLICATION – as mentioned in the vacancy announcement.</w:t>
            </w:r>
          </w:p>
          <w:p w14:paraId="6B2352EE" w14:textId="7C474978" w:rsidR="002F5D5A" w:rsidRPr="00011DAC" w:rsidRDefault="002F5D5A" w:rsidP="001B6151">
            <w:pPr>
              <w:spacing w:after="75"/>
              <w:jc w:val="both"/>
              <w:rPr>
                <w:color w:val="auto"/>
              </w:rPr>
            </w:pPr>
            <w:r w:rsidRPr="00011DAC">
              <w:rPr>
                <w:color w:val="auto"/>
              </w:rPr>
              <w:t xml:space="preserve">For further inquiries about the MIDA FINNSOM positions, you can reach out to Hassan Siraji </w:t>
            </w:r>
            <w:hyperlink r:id="rId9" w:history="1">
              <w:r w:rsidRPr="00011DAC">
                <w:rPr>
                  <w:rStyle w:val="Hyperlink"/>
                  <w:color w:val="auto"/>
                  <w:u w:val="none"/>
                </w:rPr>
                <w:t>hsiraji@iom.int</w:t>
              </w:r>
            </w:hyperlink>
            <w:r w:rsidRPr="00011DAC">
              <w:rPr>
                <w:color w:val="auto"/>
              </w:rPr>
              <w:t xml:space="preserve"> and cc </w:t>
            </w:r>
            <w:hyperlink r:id="rId10" w:history="1">
              <w:r w:rsidRPr="00011DAC">
                <w:rPr>
                  <w:rStyle w:val="Hyperlink"/>
                  <w:color w:val="auto"/>
                  <w:u w:val="none"/>
                </w:rPr>
                <w:t>sparkkali@iom.int</w:t>
              </w:r>
            </w:hyperlink>
            <w:r w:rsidRPr="00011DAC">
              <w:rPr>
                <w:color w:val="auto"/>
              </w:rPr>
              <w:t>.</w:t>
            </w:r>
          </w:p>
          <w:p w14:paraId="4E494F14" w14:textId="6059E835" w:rsidR="00A20071" w:rsidRPr="00656F97" w:rsidRDefault="00A20071" w:rsidP="00656F97">
            <w:r w:rsidRPr="008E64F0">
              <w:t xml:space="preserve">To be considered, applicants must provide a cover letter, CV, and the contact information (email and phone number) of two professional </w:t>
            </w:r>
            <w:r w:rsidRPr="0060237B">
              <w:t xml:space="preserve">references by the closing date of this vacancy. Only shortlisted candidates will be contacted. The closing date of this application is </w:t>
            </w:r>
            <w:r w:rsidR="0060237B" w:rsidRPr="0060237B">
              <w:t>2</w:t>
            </w:r>
            <w:r w:rsidR="007D7E41">
              <w:t>8</w:t>
            </w:r>
            <w:r w:rsidRPr="0060237B">
              <w:t>.</w:t>
            </w:r>
            <w:r w:rsidR="0060237B" w:rsidRPr="0060237B">
              <w:t>10</w:t>
            </w:r>
            <w:r w:rsidRPr="0060237B">
              <w:t>.202</w:t>
            </w:r>
            <w:r w:rsidR="00B172C7" w:rsidRPr="0060237B">
              <w:t>4</w:t>
            </w:r>
            <w:r w:rsidRPr="0060237B">
              <w:t>, at 12.00 PM EAT.</w:t>
            </w:r>
          </w:p>
        </w:tc>
      </w:tr>
      <w:tr w:rsidR="00A20071" w:rsidRPr="00062125" w14:paraId="0AE4252F" w14:textId="77777777" w:rsidTr="00A20071">
        <w:tblPrEx>
          <w:shd w:val="clear" w:color="auto" w:fill="auto"/>
        </w:tblPrEx>
        <w:trPr>
          <w:trHeight w:val="145"/>
        </w:trPr>
        <w:tc>
          <w:tcPr>
            <w:tcW w:w="10008" w:type="dxa"/>
            <w:shd w:val="clear" w:color="auto" w:fill="E0E0E0"/>
          </w:tcPr>
          <w:p w14:paraId="514F8077" w14:textId="77777777" w:rsidR="00A20071" w:rsidRPr="00370B0D" w:rsidRDefault="00A20071" w:rsidP="001B6151">
            <w:pPr>
              <w:pStyle w:val="Heading1"/>
              <w:rPr>
                <w:rFonts w:cs="Arial"/>
                <w:sz w:val="20"/>
                <w:szCs w:val="20"/>
              </w:rPr>
            </w:pPr>
            <w:r w:rsidRPr="00370B0D">
              <w:rPr>
                <w:rFonts w:cs="Arial"/>
                <w:sz w:val="20"/>
                <w:szCs w:val="20"/>
              </w:rPr>
              <w:t xml:space="preserve">VII: </w:t>
            </w:r>
            <w:r w:rsidRPr="00370B0D">
              <w:rPr>
                <w:sz w:val="20"/>
                <w:szCs w:val="20"/>
              </w:rPr>
              <w:t>Security and insurance modalities</w:t>
            </w:r>
          </w:p>
          <w:p w14:paraId="720026F9" w14:textId="77777777" w:rsidR="00A20071" w:rsidRPr="00062125" w:rsidRDefault="00A20071" w:rsidP="001B6151">
            <w:pPr>
              <w:pStyle w:val="Heading1"/>
              <w:rPr>
                <w:rFonts w:cs="Arial"/>
                <w:b w:val="0"/>
                <w:bCs w:val="0"/>
                <w:sz w:val="20"/>
                <w:szCs w:val="20"/>
              </w:rPr>
            </w:pPr>
          </w:p>
        </w:tc>
      </w:tr>
      <w:tr w:rsidR="00A20071" w:rsidRPr="00441633" w14:paraId="15CEE6FF" w14:textId="77777777" w:rsidTr="00A20071">
        <w:trPr>
          <w:cantSplit/>
          <w:trHeight w:val="90"/>
        </w:trPr>
        <w:tc>
          <w:tcPr>
            <w:tcW w:w="10008" w:type="dxa"/>
            <w:tcBorders>
              <w:bottom w:val="single" w:sz="4" w:space="0" w:color="auto"/>
            </w:tcBorders>
          </w:tcPr>
          <w:p w14:paraId="6D731FF6" w14:textId="4C8283D2" w:rsidR="00A20071" w:rsidRPr="001F5BCD" w:rsidRDefault="00A20071" w:rsidP="001B6151">
            <w:pPr>
              <w:spacing w:after="75"/>
              <w:jc w:val="both"/>
            </w:pPr>
            <w:r w:rsidRPr="001F5BCD">
              <w:t>Health insurance</w:t>
            </w:r>
            <w:r w:rsidR="00656F97">
              <w:t xml:space="preserve"> </w:t>
            </w:r>
            <w:r w:rsidRPr="001F5BCD">
              <w:t xml:space="preserve">will be provided by the project. However, experts will be requested to provide a recent medical certificate stating that they are physically fit </w:t>
            </w:r>
            <w:r w:rsidR="00656F97">
              <w:t>for the job</w:t>
            </w:r>
            <w:r w:rsidRPr="001F5BCD">
              <w:t>.</w:t>
            </w:r>
          </w:p>
          <w:p w14:paraId="715CF278" w14:textId="3808EE5A" w:rsidR="00A20071" w:rsidRPr="00441633" w:rsidRDefault="00A20071" w:rsidP="00656F97">
            <w:pPr>
              <w:spacing w:after="75"/>
              <w:jc w:val="both"/>
            </w:pPr>
            <w:r w:rsidRPr="001F5BCD">
              <w:t>Please note that IOM, according to the contract, will not be responsible for the security of qualified Somali expatriates. The host beneficiary institution will be responsible for the security of the individual.</w:t>
            </w:r>
          </w:p>
        </w:tc>
      </w:tr>
      <w:tr w:rsidR="00A20071" w:rsidRPr="006B6711" w14:paraId="088C142C" w14:textId="77777777" w:rsidTr="00A20071">
        <w:trPr>
          <w:cantSplit/>
          <w:trHeight w:val="90"/>
        </w:trPr>
        <w:tc>
          <w:tcPr>
            <w:tcW w:w="10008" w:type="dxa"/>
            <w:shd w:val="clear" w:color="auto" w:fill="D9D9D9"/>
          </w:tcPr>
          <w:p w14:paraId="3D8092CA" w14:textId="77777777" w:rsidR="00A20071" w:rsidRPr="006B6711" w:rsidRDefault="00A20071" w:rsidP="001B6151">
            <w:pPr>
              <w:pStyle w:val="BodyText"/>
              <w:jc w:val="both"/>
              <w:rPr>
                <w:rFonts w:cs="Arial"/>
                <w:szCs w:val="20"/>
              </w:rPr>
            </w:pPr>
          </w:p>
        </w:tc>
      </w:tr>
      <w:tr w:rsidR="00A20071" w:rsidRPr="00441633" w14:paraId="598CC45A" w14:textId="77777777" w:rsidTr="00A20071">
        <w:trPr>
          <w:cantSplit/>
          <w:trHeight w:val="90"/>
        </w:trPr>
        <w:tc>
          <w:tcPr>
            <w:tcW w:w="10008" w:type="dxa"/>
          </w:tcPr>
          <w:p w14:paraId="00EE85B9" w14:textId="77777777" w:rsidR="00A20071" w:rsidRPr="00441633" w:rsidRDefault="00A20071" w:rsidP="001B6151">
            <w:pPr>
              <w:pStyle w:val="BodyText"/>
              <w:jc w:val="both"/>
              <w:rPr>
                <w:rFonts w:ascii="Calibri" w:hAnsi="Calibri"/>
                <w:i/>
                <w:sz w:val="22"/>
                <w:szCs w:val="22"/>
              </w:rPr>
            </w:pPr>
          </w:p>
        </w:tc>
      </w:tr>
    </w:tbl>
    <w:p w14:paraId="74322AED" w14:textId="77777777" w:rsidR="00CE11EC" w:rsidRPr="00061795" w:rsidRDefault="00CE11EC">
      <w:pPr>
        <w:rPr>
          <w:rFonts w:asciiTheme="minorHAnsi" w:hAnsiTheme="minorHAnsi" w:cstheme="minorHAnsi"/>
        </w:rPr>
      </w:pPr>
    </w:p>
    <w:sectPr w:rsidR="00CE11EC" w:rsidRPr="00061795">
      <w:headerReference w:type="default" r:id="rId11"/>
      <w:footerReference w:type="even" r:id="rId12"/>
      <w:footerReference w:type="default" r:id="rId13"/>
      <w:footerReference w:type="first" r:id="rId14"/>
      <w:pgSz w:w="11900" w:h="16840"/>
      <w:pgMar w:top="1421" w:right="4330" w:bottom="2226" w:left="1402" w:header="72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E0ED" w14:textId="77777777" w:rsidR="00CE4B52" w:rsidRDefault="00CE4B52">
      <w:pPr>
        <w:spacing w:after="0" w:line="240" w:lineRule="auto"/>
      </w:pPr>
      <w:r>
        <w:separator/>
      </w:r>
    </w:p>
  </w:endnote>
  <w:endnote w:type="continuationSeparator" w:id="0">
    <w:p w14:paraId="67CE4C9D" w14:textId="77777777" w:rsidR="00CE4B52" w:rsidRDefault="00CE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67B9" w14:textId="77777777"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p w14:paraId="5B0A0191" w14:textId="77777777" w:rsidR="00CE11EC" w:rsidRDefault="007F6414">
    <w:pPr>
      <w:spacing w:after="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5128" w14:textId="3EAFCDD4"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sidR="00A959EE">
      <w:rPr>
        <w:noProof/>
        <w:sz w:val="21"/>
      </w:rPr>
      <w:t>4</w:t>
    </w:r>
    <w:r>
      <w:rPr>
        <w:sz w:val="21"/>
      </w:rPr>
      <w:fldChar w:fldCharType="end"/>
    </w:r>
    <w:r>
      <w:rPr>
        <w:sz w:val="21"/>
      </w:rPr>
      <w:t xml:space="preserve"> </w:t>
    </w:r>
  </w:p>
  <w:p w14:paraId="7ABF4B5C" w14:textId="77777777" w:rsidR="00CE11EC" w:rsidRDefault="007F6414">
    <w:pPr>
      <w:spacing w:after="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3EDD" w14:textId="77777777" w:rsidR="00CE11EC" w:rsidRDefault="007F6414">
    <w:pPr>
      <w:tabs>
        <w:tab w:val="right" w:pos="9109"/>
      </w:tabs>
      <w:spacing w:after="0"/>
      <w:ind w:right="-2941"/>
    </w:pPr>
    <w:r>
      <w:rPr>
        <w:sz w:val="27"/>
        <w:vertAlign w:val="superscript"/>
      </w:rPr>
      <w:t xml:space="preserve"> </w:t>
    </w:r>
    <w:r>
      <w:rPr>
        <w:sz w:val="27"/>
        <w:vertAlign w:val="superscript"/>
      </w:rPr>
      <w:tab/>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p w14:paraId="53479E6B" w14:textId="77777777" w:rsidR="00CE11EC" w:rsidRDefault="007F6414">
    <w:pPr>
      <w:spacing w:after="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5A25" w14:textId="77777777" w:rsidR="00CE4B52" w:rsidRDefault="00CE4B52">
      <w:pPr>
        <w:spacing w:after="0" w:line="240" w:lineRule="auto"/>
      </w:pPr>
      <w:r>
        <w:separator/>
      </w:r>
    </w:p>
  </w:footnote>
  <w:footnote w:type="continuationSeparator" w:id="0">
    <w:p w14:paraId="195981C0" w14:textId="77777777" w:rsidR="00CE4B52" w:rsidRDefault="00CE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7F7B" w14:textId="45183E44" w:rsidR="00973B46" w:rsidRDefault="00973B46" w:rsidP="00973B46">
    <w:pPr>
      <w:pStyle w:val="Header"/>
      <w:jc w:val="center"/>
    </w:pPr>
    <w:r>
      <w:t xml:space="preserve">                                                             </w:t>
    </w:r>
    <w:r w:rsidR="00285726">
      <w:rPr>
        <w:noProof/>
      </w:rPr>
      <w:drawing>
        <wp:inline distT="0" distB="0" distL="0" distR="0" wp14:anchorId="71C1B0BF" wp14:editId="52ACF2DD">
          <wp:extent cx="1656080" cy="829114"/>
          <wp:effectExtent l="0" t="0" r="1270" b="9525"/>
          <wp:docPr id="21783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30248" name="Picture 217830248"/>
                  <pic:cNvPicPr/>
                </pic:nvPicPr>
                <pic:blipFill>
                  <a:blip r:embed="rId1">
                    <a:extLst>
                      <a:ext uri="{28A0092B-C50C-407E-A947-70E740481C1C}">
                        <a14:useLocalDpi xmlns:a14="http://schemas.microsoft.com/office/drawing/2010/main" val="0"/>
                      </a:ext>
                    </a:extLst>
                  </a:blip>
                  <a:stretch>
                    <a:fillRect/>
                  </a:stretch>
                </pic:blipFill>
                <pic:spPr>
                  <a:xfrm>
                    <a:off x="0" y="0"/>
                    <a:ext cx="1660664" cy="831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439"/>
    <w:multiLevelType w:val="hybridMultilevel"/>
    <w:tmpl w:val="4E20A7FA"/>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E5B02"/>
    <w:multiLevelType w:val="hybridMultilevel"/>
    <w:tmpl w:val="611025AE"/>
    <w:lvl w:ilvl="0" w:tplc="E4227BFC">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65AE7F4">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06863FE">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6C1296">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3A0FB94">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60C336">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5CC6348">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5864EBC">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5C44C20">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5F1E75"/>
    <w:multiLevelType w:val="hybridMultilevel"/>
    <w:tmpl w:val="23C2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6385F"/>
    <w:multiLevelType w:val="hybridMultilevel"/>
    <w:tmpl w:val="2886E648"/>
    <w:lvl w:ilvl="0" w:tplc="1374A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E7098"/>
    <w:multiLevelType w:val="hybridMultilevel"/>
    <w:tmpl w:val="0F00E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7E91"/>
    <w:multiLevelType w:val="hybridMultilevel"/>
    <w:tmpl w:val="A50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85102"/>
    <w:multiLevelType w:val="hybridMultilevel"/>
    <w:tmpl w:val="62F2798E"/>
    <w:lvl w:ilvl="0" w:tplc="CDE67732">
      <w:start w:val="1"/>
      <w:numFmt w:val="decimal"/>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814C67"/>
    <w:multiLevelType w:val="multilevel"/>
    <w:tmpl w:val="FD1E237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F06EA"/>
    <w:multiLevelType w:val="hybridMultilevel"/>
    <w:tmpl w:val="A56831D2"/>
    <w:lvl w:ilvl="0" w:tplc="0409000F">
      <w:start w:val="1"/>
      <w:numFmt w:val="decimal"/>
      <w:lvlText w:val="%1."/>
      <w:lvlJc w:val="left"/>
      <w:pPr>
        <w:ind w:left="720" w:hanging="360"/>
      </w:pPr>
    </w:lvl>
    <w:lvl w:ilvl="1" w:tplc="BC9098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F4B4B"/>
    <w:multiLevelType w:val="hybridMultilevel"/>
    <w:tmpl w:val="95FEC4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02C45"/>
    <w:multiLevelType w:val="hybridMultilevel"/>
    <w:tmpl w:val="2600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73240"/>
    <w:multiLevelType w:val="hybridMultilevel"/>
    <w:tmpl w:val="1A1CFB7E"/>
    <w:lvl w:ilvl="0" w:tplc="B77CBAF2">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7E6AA86">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B88AC64">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A16D6F6">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1C48C72">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4A68E60">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9B0F926">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888EC20">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ABEE4C0">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C086D5D"/>
    <w:multiLevelType w:val="multilevel"/>
    <w:tmpl w:val="D56A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6D3C7B"/>
    <w:multiLevelType w:val="hybridMultilevel"/>
    <w:tmpl w:val="06D6A7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B422D3"/>
    <w:multiLevelType w:val="hybridMultilevel"/>
    <w:tmpl w:val="840C2302"/>
    <w:lvl w:ilvl="0" w:tplc="4DA4F5D4">
      <w:start w:val="4"/>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5F22D56">
      <w:start w:val="1"/>
      <w:numFmt w:val="lowerLetter"/>
      <w:lvlText w:val="%2"/>
      <w:lvlJc w:val="left"/>
      <w:pPr>
        <w:ind w:left="1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A22DF0E">
      <w:start w:val="1"/>
      <w:numFmt w:val="lowerRoman"/>
      <w:lvlText w:val="%3"/>
      <w:lvlJc w:val="left"/>
      <w:pPr>
        <w:ind w:left="2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C78A978">
      <w:start w:val="1"/>
      <w:numFmt w:val="decimal"/>
      <w:lvlText w:val="%4"/>
      <w:lvlJc w:val="left"/>
      <w:pPr>
        <w:ind w:left="2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E8043C0">
      <w:start w:val="1"/>
      <w:numFmt w:val="lowerLetter"/>
      <w:lvlText w:val="%5"/>
      <w:lvlJc w:val="left"/>
      <w:pPr>
        <w:ind w:left="3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264C174">
      <w:start w:val="1"/>
      <w:numFmt w:val="lowerRoman"/>
      <w:lvlText w:val="%6"/>
      <w:lvlJc w:val="left"/>
      <w:pPr>
        <w:ind w:left="44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04A65B2">
      <w:start w:val="1"/>
      <w:numFmt w:val="decimal"/>
      <w:lvlText w:val="%7"/>
      <w:lvlJc w:val="left"/>
      <w:pPr>
        <w:ind w:left="51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F26944">
      <w:start w:val="1"/>
      <w:numFmt w:val="lowerLetter"/>
      <w:lvlText w:val="%8"/>
      <w:lvlJc w:val="left"/>
      <w:pPr>
        <w:ind w:left="58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DEC2C74">
      <w:start w:val="1"/>
      <w:numFmt w:val="lowerRoman"/>
      <w:lvlText w:val="%9"/>
      <w:lvlJc w:val="left"/>
      <w:pPr>
        <w:ind w:left="65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499467461">
    <w:abstractNumId w:val="1"/>
  </w:num>
  <w:num w:numId="2" w16cid:durableId="585505014">
    <w:abstractNumId w:val="14"/>
  </w:num>
  <w:num w:numId="3" w16cid:durableId="1664816163">
    <w:abstractNumId w:val="11"/>
  </w:num>
  <w:num w:numId="4" w16cid:durableId="2049141490">
    <w:abstractNumId w:val="10"/>
  </w:num>
  <w:num w:numId="5" w16cid:durableId="1527016118">
    <w:abstractNumId w:val="6"/>
  </w:num>
  <w:num w:numId="6" w16cid:durableId="1367490915">
    <w:abstractNumId w:val="2"/>
  </w:num>
  <w:num w:numId="7" w16cid:durableId="2106804779">
    <w:abstractNumId w:val="8"/>
  </w:num>
  <w:num w:numId="8" w16cid:durableId="618335805">
    <w:abstractNumId w:val="5"/>
  </w:num>
  <w:num w:numId="9" w16cid:durableId="1803845498">
    <w:abstractNumId w:val="9"/>
  </w:num>
  <w:num w:numId="10" w16cid:durableId="833959605">
    <w:abstractNumId w:val="4"/>
  </w:num>
  <w:num w:numId="11" w16cid:durableId="1621573415">
    <w:abstractNumId w:val="13"/>
  </w:num>
  <w:num w:numId="12" w16cid:durableId="1401438007">
    <w:abstractNumId w:val="0"/>
  </w:num>
  <w:num w:numId="13" w16cid:durableId="1815290736">
    <w:abstractNumId w:val="3"/>
  </w:num>
  <w:num w:numId="14" w16cid:durableId="899555487">
    <w:abstractNumId w:val="7"/>
  </w:num>
  <w:num w:numId="15" w16cid:durableId="611858540">
    <w:abstractNumId w:val="12"/>
  </w:num>
  <w:num w:numId="16" w16cid:durableId="447701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14"/>
    <w:rsid w:val="000005F7"/>
    <w:rsid w:val="00003EDF"/>
    <w:rsid w:val="0000770B"/>
    <w:rsid w:val="00011DAC"/>
    <w:rsid w:val="00012198"/>
    <w:rsid w:val="000169D2"/>
    <w:rsid w:val="00027197"/>
    <w:rsid w:val="000317B6"/>
    <w:rsid w:val="00033049"/>
    <w:rsid w:val="0004705F"/>
    <w:rsid w:val="00050955"/>
    <w:rsid w:val="00061795"/>
    <w:rsid w:val="0006556C"/>
    <w:rsid w:val="00070AE2"/>
    <w:rsid w:val="00073ED4"/>
    <w:rsid w:val="00092001"/>
    <w:rsid w:val="000A0A03"/>
    <w:rsid w:val="000A1C53"/>
    <w:rsid w:val="000B4DB6"/>
    <w:rsid w:val="000D2066"/>
    <w:rsid w:val="000E4009"/>
    <w:rsid w:val="000F2B9B"/>
    <w:rsid w:val="000F6DA5"/>
    <w:rsid w:val="0010579E"/>
    <w:rsid w:val="00105F81"/>
    <w:rsid w:val="00107290"/>
    <w:rsid w:val="00111BFC"/>
    <w:rsid w:val="00120398"/>
    <w:rsid w:val="001313F2"/>
    <w:rsid w:val="00137EEC"/>
    <w:rsid w:val="0014495B"/>
    <w:rsid w:val="00145866"/>
    <w:rsid w:val="001510D3"/>
    <w:rsid w:val="00151C4F"/>
    <w:rsid w:val="00156E94"/>
    <w:rsid w:val="001577A7"/>
    <w:rsid w:val="001622C5"/>
    <w:rsid w:val="001827CA"/>
    <w:rsid w:val="0018566F"/>
    <w:rsid w:val="001A592E"/>
    <w:rsid w:val="001A7325"/>
    <w:rsid w:val="001B0E8E"/>
    <w:rsid w:val="001C17A8"/>
    <w:rsid w:val="001D2B80"/>
    <w:rsid w:val="001D57DF"/>
    <w:rsid w:val="001E2D3E"/>
    <w:rsid w:val="001F3100"/>
    <w:rsid w:val="001F7301"/>
    <w:rsid w:val="002077F0"/>
    <w:rsid w:val="002106DC"/>
    <w:rsid w:val="002326DF"/>
    <w:rsid w:val="00243F8A"/>
    <w:rsid w:val="00261F43"/>
    <w:rsid w:val="00271E6B"/>
    <w:rsid w:val="00285726"/>
    <w:rsid w:val="002B00E1"/>
    <w:rsid w:val="002B5778"/>
    <w:rsid w:val="002B681B"/>
    <w:rsid w:val="002C4875"/>
    <w:rsid w:val="002D0FFF"/>
    <w:rsid w:val="002F5D5A"/>
    <w:rsid w:val="002F65EB"/>
    <w:rsid w:val="002F7581"/>
    <w:rsid w:val="00303933"/>
    <w:rsid w:val="00307DDA"/>
    <w:rsid w:val="00322B16"/>
    <w:rsid w:val="00325E5A"/>
    <w:rsid w:val="00341994"/>
    <w:rsid w:val="00353D07"/>
    <w:rsid w:val="003573BB"/>
    <w:rsid w:val="00362C5B"/>
    <w:rsid w:val="00364887"/>
    <w:rsid w:val="00370D0D"/>
    <w:rsid w:val="003823ED"/>
    <w:rsid w:val="003915EB"/>
    <w:rsid w:val="0039400F"/>
    <w:rsid w:val="003B3771"/>
    <w:rsid w:val="003B7617"/>
    <w:rsid w:val="003D2633"/>
    <w:rsid w:val="003E2244"/>
    <w:rsid w:val="003E7AA6"/>
    <w:rsid w:val="0040025D"/>
    <w:rsid w:val="00402239"/>
    <w:rsid w:val="00415ECC"/>
    <w:rsid w:val="00426FBC"/>
    <w:rsid w:val="00436D74"/>
    <w:rsid w:val="00453C0D"/>
    <w:rsid w:val="00454434"/>
    <w:rsid w:val="00471276"/>
    <w:rsid w:val="00472BE1"/>
    <w:rsid w:val="00474CEA"/>
    <w:rsid w:val="00476F1A"/>
    <w:rsid w:val="004A1DC9"/>
    <w:rsid w:val="004B55A1"/>
    <w:rsid w:val="004B562A"/>
    <w:rsid w:val="004B6089"/>
    <w:rsid w:val="004D139C"/>
    <w:rsid w:val="004D3288"/>
    <w:rsid w:val="004E736B"/>
    <w:rsid w:val="004F4B95"/>
    <w:rsid w:val="00507A6F"/>
    <w:rsid w:val="00521A9F"/>
    <w:rsid w:val="00522BC0"/>
    <w:rsid w:val="00532EF0"/>
    <w:rsid w:val="005574E4"/>
    <w:rsid w:val="00567AB1"/>
    <w:rsid w:val="005775EF"/>
    <w:rsid w:val="0058028D"/>
    <w:rsid w:val="00584427"/>
    <w:rsid w:val="00586FEF"/>
    <w:rsid w:val="00592364"/>
    <w:rsid w:val="00595E0D"/>
    <w:rsid w:val="005A2C30"/>
    <w:rsid w:val="005A74CC"/>
    <w:rsid w:val="005E2A05"/>
    <w:rsid w:val="005E5041"/>
    <w:rsid w:val="005F3992"/>
    <w:rsid w:val="005F538E"/>
    <w:rsid w:val="0060237B"/>
    <w:rsid w:val="006071B9"/>
    <w:rsid w:val="00607F29"/>
    <w:rsid w:val="00614E50"/>
    <w:rsid w:val="006320E0"/>
    <w:rsid w:val="00654C27"/>
    <w:rsid w:val="00656F97"/>
    <w:rsid w:val="00660AD5"/>
    <w:rsid w:val="00664705"/>
    <w:rsid w:val="00674D93"/>
    <w:rsid w:val="00675326"/>
    <w:rsid w:val="00684557"/>
    <w:rsid w:val="00686637"/>
    <w:rsid w:val="006A0FCB"/>
    <w:rsid w:val="006F345B"/>
    <w:rsid w:val="006F59BF"/>
    <w:rsid w:val="007030DE"/>
    <w:rsid w:val="00710419"/>
    <w:rsid w:val="00710FB4"/>
    <w:rsid w:val="00721281"/>
    <w:rsid w:val="007279A5"/>
    <w:rsid w:val="00731252"/>
    <w:rsid w:val="00733659"/>
    <w:rsid w:val="00735CB2"/>
    <w:rsid w:val="007366D9"/>
    <w:rsid w:val="0074103F"/>
    <w:rsid w:val="007414D0"/>
    <w:rsid w:val="00744430"/>
    <w:rsid w:val="007477D8"/>
    <w:rsid w:val="00750736"/>
    <w:rsid w:val="0079105B"/>
    <w:rsid w:val="007A7931"/>
    <w:rsid w:val="007A7A12"/>
    <w:rsid w:val="007C1FC4"/>
    <w:rsid w:val="007D0346"/>
    <w:rsid w:val="007D2ABD"/>
    <w:rsid w:val="007D7E41"/>
    <w:rsid w:val="007E2B90"/>
    <w:rsid w:val="007E58A0"/>
    <w:rsid w:val="007F5C34"/>
    <w:rsid w:val="007F6414"/>
    <w:rsid w:val="00800E09"/>
    <w:rsid w:val="00802181"/>
    <w:rsid w:val="00803444"/>
    <w:rsid w:val="00806BC0"/>
    <w:rsid w:val="008131E0"/>
    <w:rsid w:val="00837899"/>
    <w:rsid w:val="00854DB3"/>
    <w:rsid w:val="0085612D"/>
    <w:rsid w:val="00864829"/>
    <w:rsid w:val="008901B8"/>
    <w:rsid w:val="008975E7"/>
    <w:rsid w:val="008A3ED0"/>
    <w:rsid w:val="008A43BF"/>
    <w:rsid w:val="008A5FB2"/>
    <w:rsid w:val="008B2807"/>
    <w:rsid w:val="008B565C"/>
    <w:rsid w:val="008C4402"/>
    <w:rsid w:val="008C610F"/>
    <w:rsid w:val="008E7DB3"/>
    <w:rsid w:val="0090232A"/>
    <w:rsid w:val="009048C7"/>
    <w:rsid w:val="009254CD"/>
    <w:rsid w:val="00925D5F"/>
    <w:rsid w:val="00927688"/>
    <w:rsid w:val="009337AD"/>
    <w:rsid w:val="00941792"/>
    <w:rsid w:val="00946A79"/>
    <w:rsid w:val="00953684"/>
    <w:rsid w:val="009617D2"/>
    <w:rsid w:val="0096303E"/>
    <w:rsid w:val="00971060"/>
    <w:rsid w:val="00972D42"/>
    <w:rsid w:val="00972DC6"/>
    <w:rsid w:val="00973B46"/>
    <w:rsid w:val="00984E6F"/>
    <w:rsid w:val="009A56DA"/>
    <w:rsid w:val="009B0ECB"/>
    <w:rsid w:val="009C5C79"/>
    <w:rsid w:val="009C626D"/>
    <w:rsid w:val="009D0A61"/>
    <w:rsid w:val="009D3D9D"/>
    <w:rsid w:val="009D4DC9"/>
    <w:rsid w:val="009D526A"/>
    <w:rsid w:val="009E6C9A"/>
    <w:rsid w:val="00A02C7A"/>
    <w:rsid w:val="00A03E76"/>
    <w:rsid w:val="00A20071"/>
    <w:rsid w:val="00A23B52"/>
    <w:rsid w:val="00A311E7"/>
    <w:rsid w:val="00A343B2"/>
    <w:rsid w:val="00A37D3A"/>
    <w:rsid w:val="00A42C81"/>
    <w:rsid w:val="00A437F3"/>
    <w:rsid w:val="00A455B0"/>
    <w:rsid w:val="00A52E91"/>
    <w:rsid w:val="00A72E78"/>
    <w:rsid w:val="00A7379A"/>
    <w:rsid w:val="00A87C2B"/>
    <w:rsid w:val="00A934C7"/>
    <w:rsid w:val="00A951D8"/>
    <w:rsid w:val="00A959EE"/>
    <w:rsid w:val="00A97116"/>
    <w:rsid w:val="00AA269F"/>
    <w:rsid w:val="00AA4DFC"/>
    <w:rsid w:val="00AC403E"/>
    <w:rsid w:val="00AC4FA6"/>
    <w:rsid w:val="00AE311C"/>
    <w:rsid w:val="00AE46D5"/>
    <w:rsid w:val="00AE6A53"/>
    <w:rsid w:val="00AE6F6B"/>
    <w:rsid w:val="00B01A39"/>
    <w:rsid w:val="00B172C7"/>
    <w:rsid w:val="00B1798D"/>
    <w:rsid w:val="00B21445"/>
    <w:rsid w:val="00B22B18"/>
    <w:rsid w:val="00B32386"/>
    <w:rsid w:val="00B40505"/>
    <w:rsid w:val="00B524B7"/>
    <w:rsid w:val="00B767B0"/>
    <w:rsid w:val="00B776BC"/>
    <w:rsid w:val="00B776FC"/>
    <w:rsid w:val="00B84532"/>
    <w:rsid w:val="00B87B2F"/>
    <w:rsid w:val="00BA0CB6"/>
    <w:rsid w:val="00BB2C7C"/>
    <w:rsid w:val="00BB5E10"/>
    <w:rsid w:val="00BC42D1"/>
    <w:rsid w:val="00BC6EE1"/>
    <w:rsid w:val="00BE6931"/>
    <w:rsid w:val="00C06E02"/>
    <w:rsid w:val="00C1553B"/>
    <w:rsid w:val="00C20C58"/>
    <w:rsid w:val="00C2785F"/>
    <w:rsid w:val="00C27B43"/>
    <w:rsid w:val="00C27D31"/>
    <w:rsid w:val="00C30B56"/>
    <w:rsid w:val="00C32391"/>
    <w:rsid w:val="00C33031"/>
    <w:rsid w:val="00C33738"/>
    <w:rsid w:val="00C33B20"/>
    <w:rsid w:val="00C4143F"/>
    <w:rsid w:val="00C44B4F"/>
    <w:rsid w:val="00C5240A"/>
    <w:rsid w:val="00C52414"/>
    <w:rsid w:val="00C575C6"/>
    <w:rsid w:val="00C904A6"/>
    <w:rsid w:val="00C933EC"/>
    <w:rsid w:val="00C96213"/>
    <w:rsid w:val="00C96578"/>
    <w:rsid w:val="00CA0C3E"/>
    <w:rsid w:val="00CA618A"/>
    <w:rsid w:val="00CB2383"/>
    <w:rsid w:val="00CB5472"/>
    <w:rsid w:val="00CD5FDD"/>
    <w:rsid w:val="00CE11EC"/>
    <w:rsid w:val="00CE1B54"/>
    <w:rsid w:val="00CE4B52"/>
    <w:rsid w:val="00CE6D20"/>
    <w:rsid w:val="00D265BC"/>
    <w:rsid w:val="00D3123B"/>
    <w:rsid w:val="00D33754"/>
    <w:rsid w:val="00D4358E"/>
    <w:rsid w:val="00D511AE"/>
    <w:rsid w:val="00D638B9"/>
    <w:rsid w:val="00D66E48"/>
    <w:rsid w:val="00D71D66"/>
    <w:rsid w:val="00D7495F"/>
    <w:rsid w:val="00D7751B"/>
    <w:rsid w:val="00D80764"/>
    <w:rsid w:val="00D85AE6"/>
    <w:rsid w:val="00D9259D"/>
    <w:rsid w:val="00DB0B6F"/>
    <w:rsid w:val="00DD1E6F"/>
    <w:rsid w:val="00DD4E0B"/>
    <w:rsid w:val="00E13C79"/>
    <w:rsid w:val="00E4425C"/>
    <w:rsid w:val="00E6152A"/>
    <w:rsid w:val="00E61A94"/>
    <w:rsid w:val="00E62272"/>
    <w:rsid w:val="00E64930"/>
    <w:rsid w:val="00E804A5"/>
    <w:rsid w:val="00E817FC"/>
    <w:rsid w:val="00E82D9B"/>
    <w:rsid w:val="00E876F4"/>
    <w:rsid w:val="00EA4475"/>
    <w:rsid w:val="00EB169E"/>
    <w:rsid w:val="00EC5EC8"/>
    <w:rsid w:val="00EE424B"/>
    <w:rsid w:val="00EF17C9"/>
    <w:rsid w:val="00F046D1"/>
    <w:rsid w:val="00F15B45"/>
    <w:rsid w:val="00F169F2"/>
    <w:rsid w:val="00F235FD"/>
    <w:rsid w:val="00F3789F"/>
    <w:rsid w:val="00F40533"/>
    <w:rsid w:val="00F50B39"/>
    <w:rsid w:val="00F52B50"/>
    <w:rsid w:val="00F53AD4"/>
    <w:rsid w:val="00F55B19"/>
    <w:rsid w:val="00F66A99"/>
    <w:rsid w:val="00FB1387"/>
    <w:rsid w:val="00FB19D2"/>
    <w:rsid w:val="00FC45F7"/>
    <w:rsid w:val="00FD6551"/>
    <w:rsid w:val="00FF010C"/>
    <w:rsid w:val="00FF3547"/>
    <w:rsid w:val="00FF380F"/>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8681"/>
  <w15:chartTrackingRefBased/>
  <w15:docId w15:val="{DFB0A463-5E5D-4374-B39A-7137EC58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14"/>
    <w:rPr>
      <w:rFonts w:ascii="Calibri" w:eastAsia="Calibri" w:hAnsi="Calibri" w:cs="Calibri"/>
      <w:color w:val="000000"/>
    </w:rPr>
  </w:style>
  <w:style w:type="paragraph" w:styleId="Heading1">
    <w:name w:val="heading 1"/>
    <w:basedOn w:val="Normal"/>
    <w:next w:val="Normal"/>
    <w:link w:val="Heading1Char"/>
    <w:qFormat/>
    <w:rsid w:val="00454434"/>
    <w:pPr>
      <w:keepNext/>
      <w:spacing w:after="0" w:line="240" w:lineRule="auto"/>
      <w:outlineLvl w:val="0"/>
    </w:pPr>
    <w:rPr>
      <w:rFonts w:eastAsia="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F641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F6414"/>
    <w:pPr>
      <w:ind w:left="720"/>
      <w:contextualSpacing/>
    </w:pPr>
  </w:style>
  <w:style w:type="paragraph" w:styleId="Revision">
    <w:name w:val="Revision"/>
    <w:hidden/>
    <w:uiPriority w:val="99"/>
    <w:semiHidden/>
    <w:rsid w:val="00E13C79"/>
    <w:pPr>
      <w:spacing w:after="0" w:line="240" w:lineRule="auto"/>
    </w:pPr>
    <w:rPr>
      <w:rFonts w:ascii="Calibri" w:eastAsia="Calibri" w:hAnsi="Calibri" w:cs="Calibri"/>
      <w:color w:val="000000"/>
    </w:rPr>
  </w:style>
  <w:style w:type="character" w:styleId="CommentReference">
    <w:name w:val="annotation reference"/>
    <w:basedOn w:val="DefaultParagraphFont"/>
    <w:semiHidden/>
    <w:unhideWhenUsed/>
    <w:rsid w:val="00BB2C7C"/>
    <w:rPr>
      <w:sz w:val="16"/>
      <w:szCs w:val="16"/>
    </w:rPr>
  </w:style>
  <w:style w:type="paragraph" w:styleId="CommentText">
    <w:name w:val="annotation text"/>
    <w:basedOn w:val="Normal"/>
    <w:link w:val="CommentTextChar"/>
    <w:unhideWhenUsed/>
    <w:rsid w:val="00BB2C7C"/>
    <w:pPr>
      <w:spacing w:line="240" w:lineRule="auto"/>
    </w:pPr>
    <w:rPr>
      <w:sz w:val="20"/>
      <w:szCs w:val="20"/>
    </w:rPr>
  </w:style>
  <w:style w:type="character" w:customStyle="1" w:styleId="CommentTextChar">
    <w:name w:val="Comment Text Char"/>
    <w:basedOn w:val="DefaultParagraphFont"/>
    <w:link w:val="CommentText"/>
    <w:rsid w:val="00BB2C7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2C7C"/>
    <w:rPr>
      <w:b/>
      <w:bCs/>
    </w:rPr>
  </w:style>
  <w:style w:type="character" w:customStyle="1" w:styleId="CommentSubjectChar">
    <w:name w:val="Comment Subject Char"/>
    <w:basedOn w:val="CommentTextChar"/>
    <w:link w:val="CommentSubject"/>
    <w:uiPriority w:val="99"/>
    <w:semiHidden/>
    <w:rsid w:val="00BB2C7C"/>
    <w:rPr>
      <w:rFonts w:ascii="Calibri" w:eastAsia="Calibri" w:hAnsi="Calibri" w:cs="Calibri"/>
      <w:b/>
      <w:bCs/>
      <w:color w:val="000000"/>
      <w:sz w:val="20"/>
      <w:szCs w:val="20"/>
    </w:rPr>
  </w:style>
  <w:style w:type="character" w:styleId="Hyperlink">
    <w:name w:val="Hyperlink"/>
    <w:basedOn w:val="DefaultParagraphFont"/>
    <w:uiPriority w:val="99"/>
    <w:unhideWhenUsed/>
    <w:rsid w:val="00CE1B54"/>
    <w:rPr>
      <w:color w:val="0563C1" w:themeColor="hyperlink"/>
      <w:u w:val="single"/>
    </w:rPr>
  </w:style>
  <w:style w:type="character" w:customStyle="1" w:styleId="UnresolvedMention1">
    <w:name w:val="Unresolved Mention1"/>
    <w:basedOn w:val="DefaultParagraphFont"/>
    <w:uiPriority w:val="99"/>
    <w:semiHidden/>
    <w:unhideWhenUsed/>
    <w:rsid w:val="00CE1B54"/>
    <w:rPr>
      <w:color w:val="605E5C"/>
      <w:shd w:val="clear" w:color="auto" w:fill="E1DFDD"/>
    </w:rPr>
  </w:style>
  <w:style w:type="character" w:customStyle="1" w:styleId="Heading1Char">
    <w:name w:val="Heading 1 Char"/>
    <w:basedOn w:val="DefaultParagraphFont"/>
    <w:link w:val="Heading1"/>
    <w:rsid w:val="00454434"/>
    <w:rPr>
      <w:rFonts w:ascii="Calibri" w:eastAsia="Times New Roman" w:hAnsi="Calibri" w:cs="Times New Roman"/>
      <w:b/>
      <w:bCs/>
      <w:sz w:val="24"/>
      <w:szCs w:val="24"/>
    </w:rPr>
  </w:style>
  <w:style w:type="paragraph" w:styleId="BodyTextIndent2">
    <w:name w:val="Body Text Indent 2"/>
    <w:basedOn w:val="Normal"/>
    <w:link w:val="BodyTextIndent2Char"/>
    <w:rsid w:val="00454434"/>
    <w:pPr>
      <w:spacing w:after="0" w:line="240" w:lineRule="auto"/>
      <w:ind w:left="60"/>
      <w:jc w:val="both"/>
    </w:pPr>
    <w:rPr>
      <w:rFonts w:eastAsia="Times New Roman" w:cs="Times New Roman"/>
      <w:color w:val="auto"/>
      <w:szCs w:val="24"/>
    </w:rPr>
  </w:style>
  <w:style w:type="character" w:customStyle="1" w:styleId="BodyTextIndent2Char">
    <w:name w:val="Body Text Indent 2 Char"/>
    <w:basedOn w:val="DefaultParagraphFont"/>
    <w:link w:val="BodyTextIndent2"/>
    <w:rsid w:val="00454434"/>
    <w:rPr>
      <w:rFonts w:ascii="Calibri" w:eastAsia="Times New Roman" w:hAnsi="Calibri" w:cs="Times New Roman"/>
      <w:szCs w:val="24"/>
    </w:rPr>
  </w:style>
  <w:style w:type="paragraph" w:styleId="BalloonText">
    <w:name w:val="Balloon Text"/>
    <w:basedOn w:val="Normal"/>
    <w:link w:val="BalloonTextChar"/>
    <w:uiPriority w:val="99"/>
    <w:semiHidden/>
    <w:unhideWhenUsed/>
    <w:rsid w:val="001072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7290"/>
    <w:rPr>
      <w:rFonts w:ascii="Times New Roman" w:eastAsia="Calibri" w:hAnsi="Times New Roman" w:cs="Times New Roman"/>
      <w:color w:val="000000"/>
      <w:sz w:val="18"/>
      <w:szCs w:val="18"/>
    </w:rPr>
  </w:style>
  <w:style w:type="paragraph" w:styleId="Header">
    <w:name w:val="header"/>
    <w:basedOn w:val="Normal"/>
    <w:link w:val="HeaderChar"/>
    <w:uiPriority w:val="99"/>
    <w:unhideWhenUsed/>
    <w:rsid w:val="00CA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18A"/>
    <w:rPr>
      <w:rFonts w:ascii="Calibri" w:eastAsia="Calibri" w:hAnsi="Calibri" w:cs="Calibri"/>
      <w:color w:val="000000"/>
    </w:rPr>
  </w:style>
  <w:style w:type="paragraph" w:styleId="BodyText">
    <w:name w:val="Body Text"/>
    <w:basedOn w:val="Normal"/>
    <w:link w:val="BodyTextChar"/>
    <w:rsid w:val="00A20071"/>
    <w:pPr>
      <w:spacing w:after="120" w:line="240" w:lineRule="auto"/>
    </w:pPr>
    <w:rPr>
      <w:rFonts w:ascii="Arial" w:eastAsia="Times New Roman" w:hAnsi="Arial" w:cs="Times New Roman"/>
      <w:color w:val="auto"/>
      <w:sz w:val="20"/>
      <w:szCs w:val="24"/>
    </w:rPr>
  </w:style>
  <w:style w:type="character" w:customStyle="1" w:styleId="BodyTextChar">
    <w:name w:val="Body Text Char"/>
    <w:basedOn w:val="DefaultParagraphFont"/>
    <w:link w:val="BodyText"/>
    <w:rsid w:val="00A20071"/>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776">
      <w:bodyDiv w:val="1"/>
      <w:marLeft w:val="0"/>
      <w:marRight w:val="0"/>
      <w:marTop w:val="0"/>
      <w:marBottom w:val="0"/>
      <w:divBdr>
        <w:top w:val="none" w:sz="0" w:space="0" w:color="auto"/>
        <w:left w:val="none" w:sz="0" w:space="0" w:color="auto"/>
        <w:bottom w:val="none" w:sz="0" w:space="0" w:color="auto"/>
        <w:right w:val="none" w:sz="0" w:space="0" w:color="auto"/>
      </w:divBdr>
    </w:div>
    <w:div w:id="220866716">
      <w:bodyDiv w:val="1"/>
      <w:marLeft w:val="0"/>
      <w:marRight w:val="0"/>
      <w:marTop w:val="0"/>
      <w:marBottom w:val="0"/>
      <w:divBdr>
        <w:top w:val="none" w:sz="0" w:space="0" w:color="auto"/>
        <w:left w:val="none" w:sz="0" w:space="0" w:color="auto"/>
        <w:bottom w:val="none" w:sz="0" w:space="0" w:color="auto"/>
        <w:right w:val="none" w:sz="0" w:space="0" w:color="auto"/>
      </w:divBdr>
    </w:div>
    <w:div w:id="1096361881">
      <w:bodyDiv w:val="1"/>
      <w:marLeft w:val="0"/>
      <w:marRight w:val="0"/>
      <w:marTop w:val="0"/>
      <w:marBottom w:val="0"/>
      <w:divBdr>
        <w:top w:val="none" w:sz="0" w:space="0" w:color="auto"/>
        <w:left w:val="none" w:sz="0" w:space="0" w:color="auto"/>
        <w:bottom w:val="none" w:sz="0" w:space="0" w:color="auto"/>
        <w:right w:val="none" w:sz="0" w:space="0" w:color="auto"/>
      </w:divBdr>
    </w:div>
    <w:div w:id="1437825244">
      <w:bodyDiv w:val="1"/>
      <w:marLeft w:val="0"/>
      <w:marRight w:val="0"/>
      <w:marTop w:val="0"/>
      <w:marBottom w:val="0"/>
      <w:divBdr>
        <w:top w:val="none" w:sz="0" w:space="0" w:color="auto"/>
        <w:left w:val="none" w:sz="0" w:space="0" w:color="auto"/>
        <w:bottom w:val="none" w:sz="0" w:space="0" w:color="auto"/>
        <w:right w:val="none" w:sz="0" w:space="0" w:color="auto"/>
      </w:divBdr>
    </w:div>
    <w:div w:id="1785343364">
      <w:bodyDiv w:val="1"/>
      <w:marLeft w:val="0"/>
      <w:marRight w:val="0"/>
      <w:marTop w:val="0"/>
      <w:marBottom w:val="0"/>
      <w:divBdr>
        <w:top w:val="none" w:sz="0" w:space="0" w:color="auto"/>
        <w:left w:val="none" w:sz="0" w:space="0" w:color="auto"/>
        <w:bottom w:val="none" w:sz="0" w:space="0" w:color="auto"/>
        <w:right w:val="none" w:sz="0" w:space="0" w:color="auto"/>
      </w:divBdr>
    </w:div>
    <w:div w:id="1877352678">
      <w:bodyDiv w:val="1"/>
      <w:marLeft w:val="0"/>
      <w:marRight w:val="0"/>
      <w:marTop w:val="0"/>
      <w:marBottom w:val="0"/>
      <w:divBdr>
        <w:top w:val="none" w:sz="0" w:space="0" w:color="auto"/>
        <w:left w:val="none" w:sz="0" w:space="0" w:color="auto"/>
        <w:bottom w:val="none" w:sz="0" w:space="0" w:color="auto"/>
        <w:right w:val="none" w:sz="0" w:space="0" w:color="auto"/>
      </w:divBdr>
    </w:div>
    <w:div w:id="19167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idasomvacancy@iom.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arkkali@iom.int" TargetMode="External"/><Relationship Id="rId4" Type="http://schemas.openxmlformats.org/officeDocument/2006/relationships/settings" Target="settings.xml"/><Relationship Id="rId9" Type="http://schemas.openxmlformats.org/officeDocument/2006/relationships/hyperlink" Target="mailto:hsiraji@iom.in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2711-C756-4CBE-8CF6-A01A47C1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ISSE Hussein Mohamed</cp:lastModifiedBy>
  <cp:revision>7</cp:revision>
  <dcterms:created xsi:type="dcterms:W3CDTF">2024-10-04T13:19:00Z</dcterms:created>
  <dcterms:modified xsi:type="dcterms:W3CDTF">2024-10-07T06:14:00Z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80e7b4f434988727c00809957473c2505803ddd33c6a4e32da14863df425cf69</vt:lpwstr>
  </property>
  <property fmtid="{D5CDD505-2E9C-101B-9397-08002B2CF9AE}" pid="3" name="MSIP_Label_2059aa38-f392-4105-be92-628035578272_Enabled">
    <vt:lpwstr>true</vt:lpwstr>
  </property>
  <property fmtid="{D5CDD505-2E9C-101B-9397-08002B2CF9AE}" pid="4" name="MSIP_Label_2059aa38-f392-4105-be92-628035578272_SetDate">
    <vt:lpwstr>2023-06-06T13:32:42Z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4a497209-1560-4d9a-acfc-027a56405dbc</vt:lpwstr>
  </property>
  <property fmtid="{D5CDD505-2E9C-101B-9397-08002B2CF9AE}" pid="9" name="MSIP_Label_2059aa38-f392-4105-be92-628035578272_ContentBits">
    <vt:lpwstr>0</vt:lpwstr>
  </property>
</Properties>
</file>